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Style w:val="Ohne"/>
          <w:rtl w:val="0"/>
          <w:lang w:val="de-DE"/>
        </w:rPr>
        <w:t>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nde weg von Omas Wohnung! </w:t>
      </w:r>
    </w:p>
    <w:p>
      <w:pPr>
        <w:pStyle w:val="heading 3"/>
      </w:pPr>
      <w:r>
        <w:rPr>
          <w:rStyle w:val="Ohne"/>
          <w:rtl w:val="0"/>
          <w:lang w:val="de-DE"/>
        </w:rPr>
        <w:t>Wie wir Seniorinnen und Senioren auf den Wohnungsm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rkten besser sch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tzen</w:t>
      </w:r>
    </w:p>
    <w:p>
      <w:pPr>
        <w:pStyle w:val="Normal.0"/>
      </w:pPr>
    </w:p>
    <w:p>
      <w:pPr>
        <w:pStyle w:val="Normal.0"/>
        <w:jc w:val="both"/>
      </w:pPr>
      <w:r>
        <w:rPr>
          <w:rStyle w:val="Ohne"/>
          <w:rtl w:val="0"/>
          <w:lang w:val="de-DE"/>
        </w:rPr>
        <w:t>Die K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lnerin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"https://www.express.de/koeln/eigenbedarf-kuendigung-bei-koelner-rentnerin-nach-70-jahren-2-930474"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Paula H</w:t>
      </w:r>
      <w:r>
        <w:rPr/>
        <w:fldChar w:fldCharType="end" w:fldLock="0"/>
      </w:r>
      <w:r>
        <w:rPr>
          <w:rStyle w:val="Ohne"/>
          <w:rtl w:val="0"/>
          <w:lang w:val="de-DE"/>
        </w:rPr>
        <w:t>. lebt seit 70 Jahren in ihrer  Wohnung. Nun erh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 sie eine Eigenbedarfsk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ndigung und soll ihre Wohnung verlassen. Paula H. ist 94 Jahre alt. Der K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lner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"https://www.express.de/koeln/wohnung-in-koeln-rentner-zieht-jetzt-aus-angst-aus-2-917259"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Klaus J.</w:t>
      </w:r>
      <w:r>
        <w:rPr/>
        <w:fldChar w:fldCharType="end" w:fldLock="0"/>
      </w:r>
      <w:r>
        <w:rPr>
          <w:rStyle w:val="Ohne"/>
          <w:rtl w:val="0"/>
          <w:lang w:val="de-DE"/>
        </w:rPr>
        <w:t xml:space="preserve"> musste am 1.1.2025 sein Zuhause nach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 50 Jahren wegen einer Eigenbedarfsk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ndigung r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umen </w:t>
      </w:r>
      <w:r>
        <w:rPr>
          <w:rStyle w:val="Ohne"/>
          <w:rtl w:val="0"/>
          <w:lang w:val="de-DE"/>
        </w:rPr>
        <w:t xml:space="preserve">– </w:t>
      </w:r>
      <w:r>
        <w:rPr>
          <w:rStyle w:val="Ohne"/>
          <w:rtl w:val="0"/>
          <w:lang w:val="de-DE"/>
        </w:rPr>
        <w:t>er ist 85 Jahre alt. Diese F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lle gingen zu Jahresbeginn durch die Medien, sind aber nur die Spitze des Eisberges. Denn Seniorinnen und Senioren sind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berproportional von Wohnarmut betroffen und haben kaum M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glichkeiten, aus eigener Kraft ihre Wohnsituation zu verbessern. Dies belegt nicht zuletzt eine Kleine Anfrage der Linken im Bundestag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"https://dserver.bundestag.de/btd/20/143/2014395.pdf"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Drucksache 20/13933</w:t>
      </w:r>
      <w:r>
        <w:rPr/>
        <w:fldChar w:fldCharType="end" w:fldLock="0"/>
      </w:r>
      <w:r>
        <w:rPr>
          <w:rStyle w:val="Ohne"/>
          <w:rtl w:val="0"/>
          <w:lang w:val="de-DE"/>
        </w:rPr>
        <w:t>), die ein erschreckendes Ausma</w:t>
      </w:r>
      <w:r>
        <w:rPr>
          <w:rStyle w:val="Ohne"/>
          <w:rtl w:val="0"/>
          <w:lang w:val="de-DE"/>
        </w:rPr>
        <w:t>ß „</w:t>
      </w:r>
      <w:r>
        <w:rPr>
          <w:rStyle w:val="Ohne"/>
          <w:rtl w:val="0"/>
          <w:lang w:val="de-DE"/>
        </w:rPr>
        <w:t>grauer Wohnungsnot</w:t>
      </w:r>
      <w:r>
        <w:rPr>
          <w:rStyle w:val="Ohne"/>
          <w:rtl w:val="0"/>
          <w:lang w:val="de-DE"/>
        </w:rPr>
        <w:t xml:space="preserve">“ </w:t>
      </w:r>
      <w:r>
        <w:rPr>
          <w:rStyle w:val="Ohne"/>
          <w:rtl w:val="0"/>
          <w:lang w:val="de-DE"/>
        </w:rPr>
        <w:t>zu Tage gebracht hat:</w:t>
      </w:r>
    </w:p>
    <w:p>
      <w:pPr>
        <w:pStyle w:val="List Paragraph"/>
        <w:numPr>
          <w:ilvl w:val="0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 xml:space="preserve">Senior:innen sind in Deutschland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berdurchschnittlich von zu hohen Mieten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berlastet. In den alten Bundesl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ndern gilt dies noch wesentlich st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rker als in Ostdeutschland. (Frage 4)</w:t>
      </w:r>
    </w:p>
    <w:p>
      <w:pPr>
        <w:pStyle w:val="List Paragraph"/>
        <w:numPr>
          <w:ilvl w:val="1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>In Seniorenhaushalten (mit einer Person 65 Jahre +), ist die Mietbelastungsquote (Verh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ltnis Kalt-Miete / Einkommen) im Schnitt 32,8 %. Das sind fast 5 % h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her als im bundesweiten Schnitt aller Haushalte, Senior:innen m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ssen also bis zu 5 % ihres Einkommens mehr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Miete ausgeben. Geringverdiener-Haushalte geben nicht selten 40 oder 50 % ihrer Einkommen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das Wohnen aus.</w:t>
      </w:r>
    </w:p>
    <w:p>
      <w:pPr>
        <w:pStyle w:val="List Paragraph"/>
        <w:numPr>
          <w:ilvl w:val="1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>In den alten Bundesl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ndern ist die Gefahr der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berlastung durch Mieten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ltere Menschen besonders hoch. Haushalte von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 65-J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hrigen sind dort im Schnitt mit 34 %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berlastet, Haushalte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 80-J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hriger sogar mit 34,5 %.</w:t>
      </w:r>
    </w:p>
    <w:p>
      <w:pPr>
        <w:pStyle w:val="List Paragraph"/>
        <w:numPr>
          <w:ilvl w:val="0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 xml:space="preserve">Ende 2023 mussten 672.775 Rentnerinnen und Rentner Leistungen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 die Grundsicherung im Alter beziehen, um die Kosten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Unterkunft und Heizung zu decken. Mit 381.265 sind es deutlich mehr Frauen (57 %) als M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nner, die Grundsicherung im Alter beziehen. (Frage 25) </w:t>
      </w:r>
    </w:p>
    <w:p>
      <w:pPr>
        <w:pStyle w:val="List Paragraph"/>
        <w:numPr>
          <w:ilvl w:val="0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 xml:space="preserve">Rentner:innen stellen mit 53 %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 die 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lfte der Wohngeldbeziehenden. Insgesamt haben 2023 knapp 1,2 Mrd. Haushalte Wohngeld bezogen. 624.894 Renter:innen und Pension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r:innen beziehen Wohngeld. Mit 413.670 sind zwei Drittel der wohngeldbeziehenden Rentner:innen weiblich. </w:t>
      </w:r>
    </w:p>
    <w:p>
      <w:pPr>
        <w:pStyle w:val="List Paragraph"/>
        <w:numPr>
          <w:ilvl w:val="0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 xml:space="preserve">Von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ber 13 Millionen Senioren-Haushalten mit Personen von 65 Jahren oder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lter (Frage 6), sind also 1,3 Millionen Transferleistungsbeziehende Haushalte </w:t>
      </w:r>
      <w:r>
        <w:rPr>
          <w:rStyle w:val="Ohne"/>
          <w:rtl w:val="0"/>
          <w:lang w:val="de-DE"/>
        </w:rPr>
        <w:t xml:space="preserve">– </w:t>
      </w:r>
      <w:r>
        <w:rPr>
          <w:rStyle w:val="Ohne"/>
          <w:rtl w:val="0"/>
          <w:lang w:val="de-DE"/>
        </w:rPr>
        <w:t xml:space="preserve">jeder zehnte. </w:t>
      </w:r>
    </w:p>
    <w:p>
      <w:pPr>
        <w:pStyle w:val="List Paragraph"/>
        <w:numPr>
          <w:ilvl w:val="0"/>
          <w:numId w:val="2"/>
        </w:numPr>
        <w:jc w:val="both"/>
        <w:rPr>
          <w:lang w:val="de-DE"/>
        </w:rPr>
      </w:pPr>
      <w:r>
        <w:rPr>
          <w:rStyle w:val="Ohne"/>
          <w:rtl w:val="0"/>
          <w:lang w:val="de-DE"/>
        </w:rPr>
        <w:t xml:space="preserve">Vor diesem Hintergrund ist besonders irritierend, dass die Bundesregierung der Meinung ist, dass Armut unter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lteren Menschen nicht weit verbreitet ist (Frage 32). </w:t>
      </w:r>
    </w:p>
    <w:p>
      <w:pPr>
        <w:pStyle w:val="Normal.0"/>
        <w:jc w:val="both"/>
        <w:rPr>
          <w:rStyle w:val="Ohne"/>
        </w:rPr>
      </w:pPr>
      <w:bookmarkStart w:name="_Hlk188959409" w:id="0"/>
      <w:r>
        <w:rPr>
          <w:rStyle w:val="Ohne"/>
          <w:rtl w:val="0"/>
          <w:lang w:val="de-DE"/>
        </w:rPr>
        <w:t xml:space="preserve">Hinzu kommen mehr als 410.000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ltere Menschen, die Hilfe zur Pflege beziehen, somit mehr als 1,7 Millionen transferleistungsbeziehende Senior:innen. </w:t>
      </w:r>
      <w:bookmarkEnd w:id="0"/>
      <w:r>
        <w:rPr>
          <w:rStyle w:val="Ohne"/>
          <w:rtl w:val="0"/>
          <w:lang w:val="de-DE"/>
        </w:rPr>
        <w:t>19,4 Prozent aller Menschen ab 65 Jahren gelten als arm. In absoluten Zahlen: 1,2 Millionen M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nner und zwei Millionen Frauen, also mehr als drei Millionen Menschen (EU-SILC 2023: &lt; 1.314 </w:t>
      </w:r>
      <w:r>
        <w:rPr>
          <w:rStyle w:val="Ohne"/>
          <w:rtl w:val="0"/>
          <w:lang w:val="de-DE"/>
        </w:rPr>
        <w:t>€</w:t>
      </w:r>
      <w:r>
        <w:rPr>
          <w:rStyle w:val="Ohne"/>
          <w:rtl w:val="0"/>
          <w:lang w:val="de-DE"/>
        </w:rPr>
        <w:t>). Tendenz langfristig steigend.</w:t>
      </w:r>
    </w:p>
    <w:p>
      <w:pPr>
        <w:pStyle w:val="Normal.0"/>
        <w:jc w:val="both"/>
      </w:pPr>
      <w:r>
        <w:rPr>
          <w:rStyle w:val="Ohne"/>
          <w:rtl w:val="0"/>
          <w:lang w:val="de-DE"/>
        </w:rPr>
        <w:t>Altersarmut und Mietenexplosion sind eine gef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hrliche Mischung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Senior:innen. Der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"https://www.vswg.de/uploads/tx_nbpubshop/Broschuere__Wohn_T_raeume_final_01.pdf"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Verband s</w:t>
      </w:r>
      <w:r>
        <w:rPr>
          <w:rStyle w:val="Hyperlink.1"/>
          <w:rtl w:val="0"/>
          <w:lang w:val="de-DE"/>
        </w:rPr>
        <w:t>ä</w:t>
      </w:r>
      <w:r>
        <w:rPr>
          <w:rStyle w:val="Hyperlink.1"/>
          <w:rtl w:val="0"/>
          <w:lang w:val="de-DE"/>
        </w:rPr>
        <w:t>chsischer Wohnungsbaugenossenschaften</w:t>
      </w:r>
      <w:r>
        <w:rPr/>
        <w:fldChar w:fldCharType="end" w:fldLock="0"/>
      </w:r>
      <w:r>
        <w:rPr>
          <w:rStyle w:val="Ohne"/>
          <w:rtl w:val="0"/>
          <w:lang w:val="de-DE"/>
        </w:rPr>
        <w:t xml:space="preserve"> hatte etwa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2016 errechnet, dass sich alleinlebende Durchschnittsrentner*innen in Sachsen gerade einmal eine Kaltmiete von 3,60 </w:t>
      </w:r>
      <w:r>
        <w:rPr>
          <w:rStyle w:val="Ohne"/>
          <w:rtl w:val="0"/>
          <w:lang w:val="de-DE"/>
        </w:rPr>
        <w:t>€</w:t>
      </w:r>
      <w:r>
        <w:rPr>
          <w:rStyle w:val="Ohne"/>
          <w:rtl w:val="0"/>
          <w:lang w:val="de-DE"/>
        </w:rPr>
        <w:t>/m</w:t>
      </w:r>
      <w:r>
        <w:rPr>
          <w:rStyle w:val="Ohne"/>
          <w:rtl w:val="0"/>
          <w:lang w:val="de-DE"/>
        </w:rPr>
        <w:t xml:space="preserve">² </w:t>
      </w:r>
      <w:r>
        <w:rPr>
          <w:rStyle w:val="Ohne"/>
          <w:rtl w:val="0"/>
          <w:lang w:val="de-DE"/>
        </w:rPr>
        <w:t>leisten konnten. Seitdem sind die Mieten wesentlich st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rker gestiegen als die Einkommen.</w:t>
      </w:r>
    </w:p>
    <w:p>
      <w:pPr>
        <w:pStyle w:val="Normal.0"/>
        <w:jc w:val="both"/>
      </w:pPr>
      <w:r>
        <w:rPr>
          <w:rStyle w:val="Ohne"/>
          <w:rtl w:val="0"/>
          <w:lang w:val="de-DE"/>
        </w:rPr>
        <w:t xml:space="preserve">Auch geraten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ltere Kleineigent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mer:innen zunehmend unter Druck: 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ufig geht das Eigenheim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Pflegekosten drauf, wenn keinen weiteren R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cklagen bestehen. Das Heizungsgesetz 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rdert nur maximal 70% der Investitionssumme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klimafreundliche Heizungen und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ltere bekommen 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ufig keinen Kredit mehr </w:t>
      </w:r>
      <w:r>
        <w:rPr>
          <w:rStyle w:val="Ohne"/>
          <w:rtl w:val="0"/>
          <w:lang w:val="de-DE"/>
        </w:rPr>
        <w:t xml:space="preserve">– </w:t>
      </w:r>
      <w:r>
        <w:rPr>
          <w:rStyle w:val="Ohne"/>
          <w:rtl w:val="0"/>
          <w:lang w:val="de-DE"/>
        </w:rPr>
        <w:t>weder um Eigentum noch notwenige Sanierungen zu finanzieren. Auch sie haben Angst, ihr Haus zu verlieren,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das sie vielleicht ein Leben lang gearbeitet haben.</w:t>
      </w:r>
    </w:p>
    <w:p>
      <w:pPr>
        <w:pStyle w:val="Normal.0"/>
        <w:jc w:val="both"/>
      </w:pPr>
      <w:r>
        <w:rPr>
          <w:rStyle w:val="Ohne"/>
          <w:rtl w:val="0"/>
          <w:lang w:val="de-DE"/>
        </w:rPr>
        <w:t xml:space="preserve">Laut einer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"https://www.bdb-bfh.de/meldungsdetails/jahrespressekonferenz-des-bdb-auf-der-bau-2023-in-muenchen.html?file=files/redaktion/bdb/froese/PM%252520Deutschland%252520rast%252520mit%252520100%252520Sachen%252520in%252520Graue%252520Wohnungsnot.pdf"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Studie des Pestel-Instituts</w:t>
      </w:r>
      <w:r>
        <w:rPr/>
        <w:fldChar w:fldCharType="end" w:fldLock="0"/>
      </w:r>
      <w:r>
        <w:rPr>
          <w:rStyle w:val="Ohne"/>
          <w:rtl w:val="0"/>
          <w:lang w:val="de-DE"/>
        </w:rPr>
        <w:t xml:space="preserve"> fehlen aktuell rund 2,2 Mio. altersgerechte Wohnungen.</w:t>
      </w:r>
      <w:r>
        <w:rPr>
          <w:rStyle w:val="Ohne"/>
          <w:rtl w:val="0"/>
          <w:lang w:val="de-DE"/>
        </w:rPr>
        <w:t> </w:t>
      </w:r>
      <w:r>
        <w:rPr>
          <w:rStyle w:val="Ohne"/>
          <w:rtl w:val="0"/>
          <w:lang w:val="de-DE"/>
        </w:rPr>
        <w:t>In 20 Jahren wird die Altergruppe 67+ um 3,6 Millionen angewachsen sein. Der altersgerechte Umbaubedarf ist riesig. Gleichzeitig steigen die Wohnkosten und die Pflege ist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lfte der Senor:innen nicht bezahlbar. Doch die  Zusch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sse zum altersgerechten Umbau  von Wohnungen wurden 2024 von der Ampel gestrichen,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brig blieb zun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chst nur ein unzureichendes Kreditprogramm. Im vorl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ufigen Haushalt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2025 ist kein Zuschussprogramm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barrierefreien Umbau enthalten. </w:t>
      </w:r>
    </w:p>
    <w:p>
      <w:pPr>
        <w:pStyle w:val="Normal.0"/>
        <w:jc w:val="both"/>
      </w:pP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ltere Mieter:innen, die, etwa nach dem Tod des Partners, in eine kleinere Wohnung umziehen wollen, m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ssten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eine kleine Wohnung trotzdem deutlich mehr zahlen und tun es deshalb nicht.</w:t>
      </w:r>
    </w:p>
    <w:p>
      <w:pPr>
        <w:pStyle w:val="Normal.0"/>
        <w:jc w:val="both"/>
      </w:pPr>
    </w:p>
    <w:p>
      <w:pPr>
        <w:pStyle w:val="heading 2"/>
      </w:pPr>
      <w:r>
        <w:rPr>
          <w:rStyle w:val="Ohne"/>
          <w:rtl w:val="0"/>
        </w:rPr>
        <w:t>Wir fordern :</w:t>
      </w:r>
    </w:p>
    <w:p>
      <w:pPr>
        <w:pStyle w:val="Normal.0"/>
        <w:rPr>
          <w:rStyle w:val="None"/>
          <w:b w:val="1"/>
          <w:bCs w:val="1"/>
        </w:rPr>
      </w:pPr>
      <w:r>
        <w:rPr>
          <w:rStyle w:val="None"/>
          <w:u w:val="single"/>
          <w:rtl w:val="0"/>
          <w:lang w:val="de-DE"/>
        </w:rPr>
        <w:t>Als Sofortma</w:t>
      </w:r>
      <w:r>
        <w:rPr>
          <w:rStyle w:val="None"/>
          <w:u w:val="single"/>
          <w:rtl w:val="0"/>
          <w:lang w:val="de-DE"/>
        </w:rPr>
        <w:t>ß</w:t>
      </w:r>
      <w:r>
        <w:rPr>
          <w:rStyle w:val="None"/>
          <w:u w:val="single"/>
          <w:rtl w:val="0"/>
          <w:lang w:val="de-DE"/>
        </w:rPr>
        <w:t>nahmen schlagen wir vor: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Keine Wohnungsk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>ndigungen f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 xml:space="preserve">r Menschen 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>ber 75</w:t>
      </w:r>
      <w:r>
        <w:rPr>
          <w:rStyle w:val="Ohne"/>
        </w:rPr>
        <w:br w:type="textWrapping"/>
      </w:r>
      <w:r>
        <w:rPr>
          <w:rStyle w:val="Ohne"/>
          <w:rtl w:val="0"/>
          <w:lang w:val="de-DE"/>
        </w:rPr>
        <w:t>Rentnerinnen mit alten g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nstigen Mietvertr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gen sind regelm</w:t>
      </w:r>
      <w:r>
        <w:rPr>
          <w:rStyle w:val="Ohne"/>
          <w:rtl w:val="0"/>
          <w:lang w:val="de-DE"/>
        </w:rPr>
        <w:t>äß</w:t>
      </w:r>
      <w:r>
        <w:rPr>
          <w:rStyle w:val="Ohne"/>
          <w:rtl w:val="0"/>
          <w:lang w:val="de-DE"/>
        </w:rPr>
        <w:t>ig Opfer von ausufernden Eigenbedarfs- oder anderen K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ndigungen. Sie haben als Geringverdienende im Anschluss wenig Chancen auf angespannten Wohnungsm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rkten eine Wohnung in ihrem Viertel zu finden. Um Senior:innen vor dieser besonderen sozialen 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rte  zu sch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tzen und ihnen den oft aufreibenden Klageweg zu ersparen, muss die Eigenbedarfsk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ndigung gegen Mieter*innen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 75 generell ausgeschlossen werden.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Recht auf Wohnungstausch</w:t>
      </w:r>
      <w:r>
        <w:rPr>
          <w:rStyle w:val="None"/>
          <w:b w:val="1"/>
          <w:bCs w:val="1"/>
        </w:rPr>
        <w:br w:type="textWrapping"/>
      </w:r>
      <w:r>
        <w:rPr>
          <w:rStyle w:val="Ohne"/>
          <w:rtl w:val="0"/>
          <w:lang w:val="de-DE"/>
        </w:rPr>
        <w:t>Mehr als jeder zehnte Haushalt lebt in zu kleinen Wohnungen. Gleichzeitig gibt es einige Menschen, die nach einer Trennung oder dem Tod eines Partners in eine kleinere Wohnung ziehen w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rden. Einige Seniorinnen und Senioren empfinden ihre Wohnungsgr</w:t>
      </w:r>
      <w:r>
        <w:rPr>
          <w:rStyle w:val="Ohne"/>
          <w:rtl w:val="0"/>
          <w:lang w:val="de-DE"/>
        </w:rPr>
        <w:t>öß</w:t>
      </w:r>
      <w:r>
        <w:rPr>
          <w:rStyle w:val="Ohne"/>
          <w:rtl w:val="0"/>
          <w:lang w:val="de-DE"/>
        </w:rPr>
        <w:t>e als Last und vielleicht sind die nicht barrierefrei. Das Heizen einer gro</w:t>
      </w:r>
      <w:r>
        <w:rPr>
          <w:rStyle w:val="Ohne"/>
          <w:rtl w:val="0"/>
          <w:lang w:val="de-DE"/>
        </w:rPr>
        <w:t>ß</w:t>
      </w:r>
      <w:r>
        <w:rPr>
          <w:rStyle w:val="Ohne"/>
          <w:rtl w:val="0"/>
          <w:lang w:val="de-DE"/>
        </w:rPr>
        <w:t>en Wohnung ist teuer. Das Recht auf Wohnungstausch setzt hier an und sagt: Wenn zwei Haushalte die Wohnung durch den Eintritt in den alten Mietvertrag freiwillig tauschen wollen, so soll das rechtlich garantiert m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glich sein. 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Kreditvergabe f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 xml:space="preserve">r </w:t>
      </w:r>
      <w:r>
        <w:rPr>
          <w:rStyle w:val="None"/>
          <w:b w:val="1"/>
          <w:bCs w:val="1"/>
          <w:rtl w:val="0"/>
          <w:lang w:val="de-DE"/>
        </w:rPr>
        <w:t>ä</w:t>
      </w:r>
      <w:r>
        <w:rPr>
          <w:rStyle w:val="None"/>
          <w:b w:val="1"/>
          <w:bCs w:val="1"/>
          <w:rtl w:val="0"/>
          <w:lang w:val="de-DE"/>
        </w:rPr>
        <w:t>ltere Menschen verbessern</w:t>
      </w:r>
      <w:r>
        <w:rPr>
          <w:rStyle w:val="Ohne"/>
          <w:rtl w:val="0"/>
          <w:lang w:val="de-DE"/>
        </w:rPr>
        <w:t xml:space="preserve"> </w:t>
        <w:br w:type="textWrapping"/>
      </w:r>
      <w:r>
        <w:rPr>
          <w:rStyle w:val="Ohne"/>
          <w:rtl w:val="0"/>
          <w:lang w:val="de-DE"/>
        </w:rPr>
        <w:t xml:space="preserve">Kreditanfragen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lterer Menschen werden oft pauschal abgelehnt. Standardisierte und digitale Verfahren erschweren den Zugang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lterer und setzen oft sogar pauschale Altersgrenzen von 67 Jahren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Kredite. Dieser Diskriminierung am privaten Kreditmarkt ist durch ein Verbot pauschaler Ablehnungen aufgrund des Alters im Allgemeinen Gleichbehandlungsgesetz und einer Begr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ndungspflicht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Absage von Kreditanfragen zu begegnen. Gleichzeitig ist die Infrastruktur mit Bankfilialen zu erhalten bzw. auszubauen. Zus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tzlich braucht es spezifische 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ffentliche 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rderungen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ltere Menschen mit geringen Einkommen.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F</w:t>
      </w:r>
      <w:r>
        <w:rPr>
          <w:rStyle w:val="None"/>
          <w:b w:val="1"/>
          <w:bCs w:val="1"/>
          <w:rtl w:val="0"/>
          <w:lang w:val="de-DE"/>
        </w:rPr>
        <w:t>ö</w:t>
      </w:r>
      <w:r>
        <w:rPr>
          <w:rStyle w:val="None"/>
          <w:b w:val="1"/>
          <w:bCs w:val="1"/>
          <w:rtl w:val="0"/>
          <w:lang w:val="de-DE"/>
        </w:rPr>
        <w:t>rderung altersgerechten Umbaus</w:t>
      </w:r>
      <w:r>
        <w:rPr>
          <w:rStyle w:val="Ohne"/>
        </w:rPr>
        <w:br w:type="textWrapping"/>
      </w:r>
      <w:r>
        <w:rPr>
          <w:rStyle w:val="Ohne"/>
          <w:rtl w:val="0"/>
          <w:lang w:val="de-DE"/>
        </w:rPr>
        <w:t>Die Bundesregierung k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rzte das KfW-F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rderprogramm 455-B </w:t>
      </w:r>
      <w:r>
        <w:rPr>
          <w:rStyle w:val="Ohne"/>
          <w:rtl w:val="0"/>
          <w:lang w:val="de-DE"/>
        </w:rPr>
        <w:t>„</w:t>
      </w:r>
      <w:r>
        <w:rPr>
          <w:rStyle w:val="Ohne"/>
          <w:rtl w:val="0"/>
          <w:lang w:val="de-DE"/>
        </w:rPr>
        <w:t xml:space="preserve">Barrierereduzierung </w:t>
      </w:r>
      <w:r>
        <w:rPr>
          <w:rStyle w:val="Ohne"/>
          <w:rtl w:val="0"/>
          <w:lang w:val="de-DE"/>
        </w:rPr>
        <w:t xml:space="preserve">– </w:t>
      </w:r>
      <w:r>
        <w:rPr>
          <w:rStyle w:val="Ohne"/>
          <w:rtl w:val="0"/>
          <w:lang w:val="de-DE"/>
        </w:rPr>
        <w:t>Investitionszuschuss</w:t>
      </w:r>
      <w:r>
        <w:rPr>
          <w:rStyle w:val="Ohne"/>
          <w:rtl w:val="0"/>
          <w:lang w:val="de-DE"/>
        </w:rPr>
        <w:t>“</w:t>
      </w:r>
      <w:r>
        <w:rPr>
          <w:rStyle w:val="Ohne"/>
          <w:rtl w:val="0"/>
          <w:lang w:val="de-DE"/>
        </w:rPr>
        <w:t>, obwohl Verb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nde als auch die KfW die Bedeutung des 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rderprogramms betonen und eine rege Nachfrage best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tigen. Auch das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briggebliebene Kreditprogramm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altersgerechten Umbau (KfW 159) ist 2025 nicht weiter finanziert und im vorl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ufigen Haushalt gek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rzt. Wir fordern die Wiederaufnahme einer Zuschuss-F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rderung und die Weiterf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hrung des Kreditprogramms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barrierefreien altersgerechten Umbau.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Wohngeldantr</w:t>
      </w:r>
      <w:r>
        <w:rPr>
          <w:rStyle w:val="None"/>
          <w:b w:val="1"/>
          <w:bCs w:val="1"/>
          <w:rtl w:val="0"/>
          <w:lang w:val="de-DE"/>
        </w:rPr>
        <w:t>ä</w:t>
      </w:r>
      <w:r>
        <w:rPr>
          <w:rStyle w:val="None"/>
          <w:b w:val="1"/>
          <w:bCs w:val="1"/>
          <w:rtl w:val="0"/>
          <w:lang w:val="de-DE"/>
        </w:rPr>
        <w:t xml:space="preserve">ge vereinfachen </w:t>
      </w:r>
      <w:r>
        <w:rPr>
          <w:rStyle w:val="None"/>
          <w:b w:val="1"/>
          <w:bCs w:val="1"/>
          <w:rtl w:val="0"/>
          <w:lang w:val="de-DE"/>
        </w:rPr>
        <w:t xml:space="preserve">– </w:t>
      </w:r>
      <w:r>
        <w:rPr>
          <w:rStyle w:val="None"/>
          <w:b w:val="1"/>
          <w:bCs w:val="1"/>
          <w:rtl w:val="0"/>
          <w:lang w:val="de-DE"/>
        </w:rPr>
        <w:t>Genehmigungsdauer verl</w:t>
      </w:r>
      <w:r>
        <w:rPr>
          <w:rStyle w:val="None"/>
          <w:b w:val="1"/>
          <w:bCs w:val="1"/>
          <w:rtl w:val="0"/>
          <w:lang w:val="de-DE"/>
        </w:rPr>
        <w:t>ä</w:t>
      </w:r>
      <w:r>
        <w:rPr>
          <w:rStyle w:val="None"/>
          <w:b w:val="1"/>
          <w:bCs w:val="1"/>
          <w:rtl w:val="0"/>
          <w:lang w:val="de-DE"/>
        </w:rPr>
        <w:t>ngern</w:t>
      </w:r>
      <w:r>
        <w:rPr>
          <w:rStyle w:val="Ohne"/>
        </w:rPr>
        <w:br w:type="textWrapping"/>
      </w:r>
      <w:r>
        <w:rPr>
          <w:rStyle w:val="Ohne"/>
          <w:rtl w:val="0"/>
          <w:lang w:val="de-DE"/>
        </w:rPr>
        <w:t>Die komplizierte Wohngeldbeantragung und die Bearbeitungszeit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Antr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ge m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ssen allgemein vereinfacht und beschleunigt werden.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624.894 Renter:innen und Pension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r:innen, die auf Wohngeld angewiesen sind, sollte generell die rechtlich maximal zul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ssige Genehmigungsdauer von 24 Monaten (statt 12) ausgesch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pft und die Verl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ngerung einfach, formlos und unb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rokratisch m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glich sein. Ohnehin 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ndert sich bei den Einkommen von Renter:innen wenig.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berforderungen durch Antr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ge ist damit zu begegnen.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Sozial gerechte F</w:t>
      </w:r>
      <w:r>
        <w:rPr>
          <w:rStyle w:val="None"/>
          <w:b w:val="1"/>
          <w:bCs w:val="1"/>
          <w:rtl w:val="0"/>
          <w:lang w:val="de-DE"/>
        </w:rPr>
        <w:t>ö</w:t>
      </w:r>
      <w:r>
        <w:rPr>
          <w:rStyle w:val="None"/>
          <w:b w:val="1"/>
          <w:bCs w:val="1"/>
          <w:rtl w:val="0"/>
          <w:lang w:val="de-DE"/>
        </w:rPr>
        <w:t>rderung des Heizungstauschs</w:t>
      </w:r>
      <w:r>
        <w:rPr>
          <w:rStyle w:val="Ohne"/>
        </w:rPr>
        <w:br w:type="textWrapping"/>
      </w:r>
      <w:r>
        <w:rPr>
          <w:rStyle w:val="Ohne"/>
          <w:rtl w:val="0"/>
          <w:lang w:val="de-DE"/>
        </w:rPr>
        <w:t xml:space="preserve">Als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"https://www.die-linke.de/start/nachrichten/detail/sofortpaket-waerme/"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Linke fordern</w:t>
      </w:r>
      <w:r>
        <w:rPr/>
        <w:fldChar w:fldCharType="end" w:fldLock="0"/>
      </w:r>
      <w:r>
        <w:rPr>
          <w:rStyle w:val="Ohne"/>
          <w:rtl w:val="0"/>
          <w:lang w:val="de-DE"/>
        </w:rPr>
        <w:t xml:space="preserve"> wir, dass Mieter:innen nicht zus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tzlich durch Modernisierungsumlagen belastet werden. Im Heizungsgesetz sollte eine progressive Staffelung der Kosten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nernahme eingebaut werden: 100 % Finanzierung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Haushalte mit geringen Einkommen. Das w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rde vor allem viele Senior:innen entlasten. Daf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m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ssen Reiche ihren Heizungstausch ohne 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rderung aus Steuermitteln selber stemmen. </w:t>
      </w:r>
    </w:p>
    <w:p>
      <w:pPr>
        <w:pStyle w:val="List Paragraph"/>
        <w:jc w:val="both"/>
      </w:pPr>
    </w:p>
    <w:p>
      <w:pPr>
        <w:pStyle w:val="Normal.0"/>
        <w:jc w:val="both"/>
        <w:rPr>
          <w:rStyle w:val="None"/>
          <w:u w:val="single"/>
        </w:rPr>
      </w:pPr>
      <w:r>
        <w:rPr>
          <w:rStyle w:val="None"/>
          <w:u w:val="single"/>
          <w:rtl w:val="0"/>
          <w:lang w:val="de-DE"/>
        </w:rPr>
        <w:t>Dar</w:t>
      </w:r>
      <w:r>
        <w:rPr>
          <w:rStyle w:val="None"/>
          <w:u w:val="single"/>
          <w:rtl w:val="0"/>
          <w:lang w:val="de-DE"/>
        </w:rPr>
        <w:t>ü</w:t>
      </w:r>
      <w:r>
        <w:rPr>
          <w:rStyle w:val="None"/>
          <w:u w:val="single"/>
          <w:rtl w:val="0"/>
          <w:lang w:val="de-DE"/>
        </w:rPr>
        <w:t xml:space="preserve">ber hinaus fordern wir: 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Rentenniveau auf 53 Prozent anheben und eine einkommens- und verm</w:t>
      </w:r>
      <w:r>
        <w:rPr>
          <w:rStyle w:val="None"/>
          <w:b w:val="1"/>
          <w:bCs w:val="1"/>
          <w:rtl w:val="0"/>
          <w:lang w:val="de-DE"/>
        </w:rPr>
        <w:t>ö</w:t>
      </w:r>
      <w:r>
        <w:rPr>
          <w:rStyle w:val="None"/>
          <w:b w:val="1"/>
          <w:bCs w:val="1"/>
          <w:rtl w:val="0"/>
          <w:lang w:val="de-DE"/>
        </w:rPr>
        <w:t>gensgepr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>fte Solidarische Mindestrente einf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>hren</w:t>
      </w:r>
      <w:r>
        <w:rPr>
          <w:rStyle w:val="None"/>
          <w:b w:val="1"/>
          <w:bCs w:val="1"/>
        </w:rPr>
        <w:br w:type="textWrapping"/>
      </w:r>
      <w:r>
        <w:rPr>
          <w:rStyle w:val="Ohne"/>
          <w:rtl w:val="0"/>
          <w:lang w:val="de-DE"/>
        </w:rPr>
        <w:t>Die Rente muss wieder den Lebensstandard sichern. Seit dem Absinken des Rentenniveaus durch die Agenda 2010 Anfang der 2000er Jahre durch SPD und Gr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ne hat sich die Altersarmut verdoppelt. Der Zusammenhang ist eindeutig. Deswegen bedarf es dringender Reformen, damit Altersarmut auch prophylaktisch vorgebeugt wird. Am wichtigsten sind daf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die Anhebung des Rentenniveaus und die Einf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hrung einer einkommens- und verm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gensgepr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ften Solidarischen Mindestrente, die sich an der Armutsschwelle der EU (EU-SILC 1314 Euro im Jahr 2023)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Deutschland orientiert und aktuell 1.400 Euro netto (2025)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 xml:space="preserve">r Alleinstehende betragen sollte. 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Solidarische Pflegeversicherung f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>r Alle</w:t>
      </w:r>
      <w:r>
        <w:rPr>
          <w:rStyle w:val="Ohne"/>
        </w:rPr>
        <w:br w:type="textWrapping"/>
      </w:r>
      <w:r>
        <w:rPr>
          <w:rStyle w:val="Ohne"/>
          <w:rtl w:val="0"/>
          <w:lang w:val="de-DE"/>
        </w:rPr>
        <w:t>Durch eine Pflegeversicherung verhindern wir, dass Kleineigent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mer:innen ihr Eigenheim verkaufen m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ssen, um die Pflege zu finanzieren. Insbesondere die unteren Mittelschichten sind davon betroffen. Wir wollen das Prinzip einf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hren: Alle zahlen in die Pflegekasse ein, daf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werden die gesamten Pflegekosten abgesichert.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Style w:val="None"/>
          <w:b w:val="1"/>
          <w:bCs w:val="1"/>
          <w:rtl w:val="0"/>
          <w:lang w:val="de-DE"/>
        </w:rPr>
        <w:t>Bundesweiter Mietendeckel und mehr sozialer, gemeinn</w:t>
      </w:r>
      <w:r>
        <w:rPr>
          <w:rStyle w:val="None"/>
          <w:b w:val="1"/>
          <w:bCs w:val="1"/>
          <w:rtl w:val="0"/>
          <w:lang w:val="de-DE"/>
        </w:rPr>
        <w:t>ü</w:t>
      </w:r>
      <w:r>
        <w:rPr>
          <w:rStyle w:val="None"/>
          <w:b w:val="1"/>
          <w:bCs w:val="1"/>
          <w:rtl w:val="0"/>
          <w:lang w:val="de-DE"/>
        </w:rPr>
        <w:t>tziger Wohnungsbau</w:t>
      </w:r>
      <w:r>
        <w:rPr>
          <w:rStyle w:val="Ohne"/>
          <w:rtl w:val="0"/>
          <w:lang w:val="de-DE"/>
        </w:rPr>
        <w:t>Bis ein bundesweiter Mietendeckel greift, sind Mieterh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hungen in angespannten Wohnungsm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rkten in den n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chsten 6 Jahren auszuschlie</w:t>
      </w:r>
      <w:r>
        <w:rPr>
          <w:rStyle w:val="Ohne"/>
          <w:rtl w:val="0"/>
          <w:lang w:val="de-DE"/>
        </w:rPr>
        <w:t>ß</w:t>
      </w:r>
      <w:r>
        <w:rPr>
          <w:rStyle w:val="Ohne"/>
          <w:rtl w:val="0"/>
          <w:lang w:val="de-DE"/>
        </w:rPr>
        <w:t>en. Mieten werden bundesweit gedeckelt, Mieterh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 xml:space="preserve">hungen und Wiedervermietungsmieten begrenzt,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berh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hte Mieten abgesenkt. Gleichzeitig wollen wir 20 Milliarden Euro j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hrlich in sozialen und gemeinn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tzigen Wohnungsbau investieren, nach dem Vorbild Wien. So k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nnen dauerhaft Wohnungen auch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Senior:innen bezahlbar gehalten werden.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</w:pPr>
    <w:r>
      <w:rPr>
        <w:sz w:val="16"/>
        <w:szCs w:val="16"/>
        <w:rtl w:val="0"/>
        <w:lang w:val="de-DE"/>
      </w:rPr>
      <w:t>Caren Lay und Ines Schwerdtner, 29.1.2025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2"/>
      <w:position w:val="0"/>
      <w:sz w:val="40"/>
      <w:szCs w:val="40"/>
      <w:u w:val="none" w:color="2e74b5"/>
      <w:shd w:val="nil" w:color="auto" w:fill="auto"/>
      <w:vertAlign w:val="baseline"/>
      <w:lang w:val="de-DE"/>
      <w14:textFill>
        <w14:solidFill>
          <w14:srgbClr w14:val="2E74B5"/>
        </w14:solidFill>
      </w14:textFill>
    </w:rPr>
  </w:style>
  <w:style w:type="character" w:styleId="Ohne">
    <w:name w:val="Ohne"/>
    <w:rPr>
      <w:lang w:val="de-DE"/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160" w:line="259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2"/>
      <w:position w:val="0"/>
      <w:sz w:val="24"/>
      <w:szCs w:val="24"/>
      <w:u w:val="none" w:color="1f4d78"/>
      <w:shd w:val="nil" w:color="auto" w:fill="auto"/>
      <w:vertAlign w:val="baseline"/>
      <w:lang w:val="de-DE"/>
      <w14:textFill>
        <w14:solidFill>
          <w14:srgbClr w14:val="1F4D78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character" w:styleId="Hyperlink.1">
    <w:name w:val="Hyperlink.1"/>
    <w:basedOn w:val="None"/>
    <w:next w:val="Hyperlink.1"/>
    <w:rPr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60" w:after="8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2"/>
      <w:position w:val="0"/>
      <w:sz w:val="32"/>
      <w:szCs w:val="32"/>
      <w:u w:val="none" w:color="2e74b5"/>
      <w:shd w:val="nil" w:color="auto" w:fill="auto"/>
      <w:vertAlign w:val="baseline"/>
      <w:lang w:val="de-DE"/>
      <w14:textFill>
        <w14:solidFill>
          <w14:srgbClr w14:val="2E74B5"/>
        </w14:solidFill>
      </w14:textFill>
    </w:rPr>
  </w:style>
  <w:style w:type="numbering" w:styleId="Importierter Stil: 2">
    <w:name w:val="Importierter Stil: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