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AA5B8" w14:textId="5B5F267C" w:rsidR="00AF6230" w:rsidRDefault="008974D0">
      <w:pPr>
        <w:rPr>
          <w:rFonts w:ascii="Melior Com" w:hAnsi="Melior Com"/>
          <w:b/>
          <w:sz w:val="24"/>
          <w:szCs w:val="24"/>
        </w:rPr>
      </w:pPr>
      <w:r>
        <w:rPr>
          <w:rFonts w:ascii="Melior Com" w:hAnsi="Melior Com"/>
          <w:b/>
          <w:sz w:val="24"/>
          <w:szCs w:val="24"/>
        </w:rPr>
        <w:t xml:space="preserve">50 Prozent </w:t>
      </w:r>
      <w:r w:rsidR="00046DDB">
        <w:rPr>
          <w:rFonts w:ascii="Melior Com" w:hAnsi="Melior Com"/>
          <w:b/>
          <w:sz w:val="24"/>
          <w:szCs w:val="24"/>
        </w:rPr>
        <w:t>Mietsteigerungen trotz Mietpreisbremse</w:t>
      </w:r>
    </w:p>
    <w:p w14:paraId="5FF9848D" w14:textId="3C434987" w:rsidR="00046DDB" w:rsidRDefault="00046DDB">
      <w:pPr>
        <w:jc w:val="both"/>
        <w:rPr>
          <w:rFonts w:ascii="Melior Com" w:hAnsi="Melior Com"/>
        </w:rPr>
      </w:pPr>
      <w:bookmarkStart w:id="0" w:name="_Hlk181983812"/>
      <w:r>
        <w:rPr>
          <w:rFonts w:ascii="Melior Com" w:hAnsi="Melior Com"/>
        </w:rPr>
        <w:t xml:space="preserve">Seit 2015 sind die Mieten in Deutschlands 14 größten Städten </w:t>
      </w:r>
      <w:r w:rsidR="008974D0">
        <w:rPr>
          <w:rFonts w:ascii="Melior Com" w:hAnsi="Melior Com"/>
        </w:rPr>
        <w:t>im Schnitt um 49 %</w:t>
      </w:r>
      <w:r>
        <w:rPr>
          <w:rFonts w:ascii="Melior Com" w:hAnsi="Melior Com"/>
        </w:rPr>
        <w:t xml:space="preserve"> Prozent angehoben worden. </w:t>
      </w:r>
    </w:p>
    <w:p w14:paraId="3946B832" w14:textId="66760C21" w:rsidR="00E40157" w:rsidRDefault="00F0030F">
      <w:pPr>
        <w:jc w:val="both"/>
        <w:rPr>
          <w:rFonts w:ascii="Melior Com" w:hAnsi="Melior Com"/>
        </w:rPr>
      </w:pPr>
      <w:r>
        <w:rPr>
          <w:rFonts w:ascii="Melior Com" w:hAnsi="Melior Com"/>
        </w:rPr>
        <w:t>Am stärksten betroffen ist</w:t>
      </w:r>
      <w:r w:rsidR="001E7EEB">
        <w:rPr>
          <w:rFonts w:ascii="Melior Com" w:hAnsi="Melior Com"/>
        </w:rPr>
        <w:t xml:space="preserve"> Berlin, wo sich die Neumieten zwischen 201</w:t>
      </w:r>
      <w:r w:rsidR="008974D0">
        <w:rPr>
          <w:rFonts w:ascii="Melior Com" w:hAnsi="Melior Com"/>
        </w:rPr>
        <w:t>5</w:t>
      </w:r>
      <w:r w:rsidR="001E7EEB">
        <w:rPr>
          <w:rFonts w:ascii="Melior Com" w:hAnsi="Melior Com"/>
        </w:rPr>
        <w:t xml:space="preserve"> und 202</w:t>
      </w:r>
      <w:r w:rsidR="008974D0">
        <w:rPr>
          <w:rFonts w:ascii="Melior Com" w:hAnsi="Melior Com"/>
        </w:rPr>
        <w:t>4 mit 107 Prozent mehr als</w:t>
      </w:r>
      <w:r w:rsidR="001E7EEB">
        <w:rPr>
          <w:rFonts w:ascii="Melior Com" w:hAnsi="Melior Com"/>
        </w:rPr>
        <w:t xml:space="preserve"> verdoppelt </w:t>
      </w:r>
      <w:r w:rsidR="008974D0">
        <w:rPr>
          <w:rFonts w:ascii="Melior Com" w:hAnsi="Melior Com"/>
        </w:rPr>
        <w:t>wurden</w:t>
      </w:r>
      <w:r w:rsidR="001E7EEB">
        <w:rPr>
          <w:rFonts w:ascii="Melior Com" w:hAnsi="Melior Com"/>
        </w:rPr>
        <w:t xml:space="preserve">. </w:t>
      </w:r>
      <w:r w:rsidR="008974D0">
        <w:rPr>
          <w:rFonts w:ascii="Melior Com" w:hAnsi="Melior Com"/>
        </w:rPr>
        <w:t>Leipzig</w:t>
      </w:r>
      <w:r w:rsidR="001E7EEB">
        <w:rPr>
          <w:rFonts w:ascii="Melior Com" w:hAnsi="Melior Com"/>
        </w:rPr>
        <w:t xml:space="preserve"> folgt mit einer Erhöhung von </w:t>
      </w:r>
      <w:r w:rsidR="00CA6EEA">
        <w:rPr>
          <w:rFonts w:ascii="Melior Com" w:hAnsi="Melior Com"/>
        </w:rPr>
        <w:t>68</w:t>
      </w:r>
      <w:r w:rsidR="001E7EEB">
        <w:rPr>
          <w:rFonts w:ascii="Melior Com" w:hAnsi="Melior Com"/>
        </w:rPr>
        <w:t xml:space="preserve"> Prozent. Platz 3 geht an </w:t>
      </w:r>
      <w:r w:rsidR="00CA6EEA">
        <w:rPr>
          <w:rFonts w:ascii="Melior Com" w:hAnsi="Melior Com"/>
        </w:rPr>
        <w:t>Bremen</w:t>
      </w:r>
      <w:r w:rsidR="001E7EEB">
        <w:rPr>
          <w:rFonts w:ascii="Melior Com" w:hAnsi="Melior Com"/>
        </w:rPr>
        <w:t xml:space="preserve"> mit 57 Prozent Erhöhung. </w:t>
      </w:r>
      <w:bookmarkEnd w:id="0"/>
      <w:r>
        <w:rPr>
          <w:rFonts w:ascii="Melior Com" w:hAnsi="Melior Com"/>
        </w:rPr>
        <w:t xml:space="preserve">In München stiegen die Preise um </w:t>
      </w:r>
      <w:r w:rsidR="00CA6EEA">
        <w:rPr>
          <w:rFonts w:ascii="Melior Com" w:hAnsi="Melior Com"/>
        </w:rPr>
        <w:t xml:space="preserve">50 Prozent, In Dortmund um 48, in Köln und Hamburg um je 46 Prozent. </w:t>
      </w:r>
      <w:r>
        <w:rPr>
          <w:rFonts w:ascii="Melior Com" w:hAnsi="Melior Com"/>
        </w:rPr>
        <w:t xml:space="preserve">In </w:t>
      </w:r>
      <w:r w:rsidR="00CA6EEA">
        <w:rPr>
          <w:rFonts w:ascii="Melior Com" w:hAnsi="Melior Com"/>
        </w:rPr>
        <w:t>Stuttgart und Düsseldorf</w:t>
      </w:r>
      <w:r>
        <w:rPr>
          <w:rFonts w:ascii="Melior Com" w:hAnsi="Melior Com"/>
        </w:rPr>
        <w:t xml:space="preserve"> waren die Preise für angebotene Mietwohnungen 202</w:t>
      </w:r>
      <w:r w:rsidR="00CA6EEA">
        <w:rPr>
          <w:rFonts w:ascii="Melior Com" w:hAnsi="Melior Com"/>
        </w:rPr>
        <w:t>4</w:t>
      </w:r>
      <w:r>
        <w:rPr>
          <w:rFonts w:ascii="Melior Com" w:hAnsi="Melior Com"/>
        </w:rPr>
        <w:t xml:space="preserve"> um 44 Prozent höher als 201</w:t>
      </w:r>
      <w:r w:rsidR="00CA6EEA">
        <w:rPr>
          <w:rFonts w:ascii="Melior Com" w:hAnsi="Melior Com"/>
        </w:rPr>
        <w:t>5</w:t>
      </w:r>
      <w:r>
        <w:rPr>
          <w:rFonts w:ascii="Melior Com" w:hAnsi="Melior Com"/>
        </w:rPr>
        <w:t xml:space="preserve">. </w:t>
      </w:r>
      <w:r w:rsidR="003A15F3">
        <w:rPr>
          <w:rFonts w:ascii="Melior Com" w:hAnsi="Melior Com"/>
        </w:rPr>
        <w:t>Das geht aus Antworten der Bundesregierung auf Anfragen der Mietenpolitischen Sprecherin der Linken im Bundestag, Caren Lay, hervor.</w:t>
      </w:r>
    </w:p>
    <w:p w14:paraId="0E9BAF46" w14:textId="21CC0D6F" w:rsidR="00046DDB" w:rsidRDefault="00046DDB">
      <w:pPr>
        <w:jc w:val="both"/>
        <w:rPr>
          <w:rFonts w:ascii="Melior Com" w:hAnsi="Melior Com"/>
        </w:rPr>
      </w:pPr>
      <w:r>
        <w:rPr>
          <w:rFonts w:ascii="Melior Com" w:hAnsi="Melior Com"/>
        </w:rPr>
        <w:t xml:space="preserve">Seit 1. Juni 2015 ist die sogenannte Mietpreisbremse </w:t>
      </w:r>
      <w:proofErr w:type="spellStart"/>
      <w:r>
        <w:rPr>
          <w:rFonts w:ascii="Melior Com" w:hAnsi="Melior Com"/>
        </w:rPr>
        <w:t>inkraft</w:t>
      </w:r>
      <w:proofErr w:type="spellEnd"/>
      <w:r>
        <w:rPr>
          <w:rFonts w:ascii="Melior Com" w:hAnsi="Melior Com"/>
        </w:rPr>
        <w:t xml:space="preserve">. Das Gesetz </w:t>
      </w:r>
      <w:r w:rsidR="001157E5">
        <w:rPr>
          <w:rFonts w:ascii="Melior Com" w:hAnsi="Melior Com"/>
        </w:rPr>
        <w:t>„</w:t>
      </w:r>
      <w:r w:rsidR="001157E5" w:rsidRPr="001157E5">
        <w:rPr>
          <w:rFonts w:ascii="Melior Com" w:hAnsi="Melior Com"/>
        </w:rPr>
        <w:t>zur Dämpfung des Mietanstiegs auf angespannten Wohnungsmärkten</w:t>
      </w:r>
      <w:r w:rsidR="001157E5">
        <w:rPr>
          <w:rFonts w:ascii="Melior Com" w:hAnsi="Melior Com"/>
        </w:rPr>
        <w:t xml:space="preserve">“ schränkt die Höhe der Miete bei Wiedervermietung ein. Erlaubt sind Wiedervermietungsmieten zehn Prozent über der ortsüblichen Vergleichsmiete. Zusätzlich gibt es diverse Ausnahmen, etwa Möblierungszuschläge. Zudem sind sogenannte Neubauten, die nach 2014 erstmals vermietet wurden, und umfassend modernisierte Wohnungen ausgenommen. Es </w:t>
      </w:r>
      <w:proofErr w:type="spellStart"/>
      <w:r w:rsidR="001157E5">
        <w:rPr>
          <w:rFonts w:ascii="Melior Com" w:hAnsi="Melior Com"/>
        </w:rPr>
        <w:t>Bedarf</w:t>
      </w:r>
      <w:proofErr w:type="spellEnd"/>
      <w:r w:rsidR="001157E5">
        <w:rPr>
          <w:rFonts w:ascii="Melior Com" w:hAnsi="Melior Com"/>
        </w:rPr>
        <w:t xml:space="preserve"> Verordnungen der Länder, damit die Mietpreisbremse in benannten Kommunen gilt. Die Bundesregierung will das Gesetz, das Ende 2025 ausläuft, ohne Änderungen bis 2029 verlängern. </w:t>
      </w:r>
    </w:p>
    <w:p w14:paraId="52A4A0ED" w14:textId="42E4A828" w:rsidR="001157E5" w:rsidRDefault="008974D0">
      <w:pPr>
        <w:jc w:val="both"/>
        <w:rPr>
          <w:rFonts w:ascii="Melior Com" w:hAnsi="Melior Com"/>
        </w:rPr>
      </w:pPr>
      <w:r>
        <w:rPr>
          <w:rFonts w:ascii="Melior Com" w:hAnsi="Melior Com"/>
        </w:rPr>
        <w:t xml:space="preserve">In Städten wie Hamburg, Köln oder Leipzig sind die Mieten trotz Mietpreisbremse sogar stärker angehoben worden als zuvor (vgl. </w:t>
      </w:r>
      <w:hyperlink r:id="rId7" w:history="1">
        <w:r w:rsidRPr="003456D4">
          <w:rPr>
            <w:rStyle w:val="Hyperlink"/>
            <w:rFonts w:ascii="Melior Com" w:hAnsi="Melior Com"/>
          </w:rPr>
          <w:t>Anfrage für die 14 größten Städte</w:t>
        </w:r>
      </w:hyperlink>
      <w:r>
        <w:t>).</w:t>
      </w:r>
    </w:p>
    <w:p w14:paraId="5B36E6D0" w14:textId="77777777" w:rsidR="00AF6230" w:rsidRDefault="001E7EEB">
      <w:pPr>
        <w:rPr>
          <w:rFonts w:ascii="Melior Com" w:hAnsi="Melior Com"/>
        </w:rPr>
      </w:pPr>
      <w:bookmarkStart w:id="1" w:name="_Hlk172715383"/>
      <w:r>
        <w:rPr>
          <w:rFonts w:ascii="Melior Com" w:hAnsi="Melior Com"/>
        </w:rPr>
        <w:t xml:space="preserve">Dazu erklärt Caren Lay: </w:t>
      </w:r>
    </w:p>
    <w:p w14:paraId="2DC27DF5" w14:textId="7E6AAF1C" w:rsidR="00CA6EEA" w:rsidRDefault="001E7EEB" w:rsidP="00CA6EEA">
      <w:pPr>
        <w:jc w:val="both"/>
        <w:rPr>
          <w:rFonts w:ascii="Melior Com" w:hAnsi="Melior Com"/>
          <w:i/>
        </w:rPr>
      </w:pPr>
      <w:r>
        <w:rPr>
          <w:rFonts w:ascii="Melior Com" w:hAnsi="Melior Com"/>
          <w:i/>
        </w:rPr>
        <w:t xml:space="preserve">„Die Mieten explodieren </w:t>
      </w:r>
      <w:r w:rsidR="00047FE6">
        <w:rPr>
          <w:rFonts w:ascii="Melior Com" w:hAnsi="Melior Com"/>
          <w:i/>
        </w:rPr>
        <w:t>in deutschen Großstädten</w:t>
      </w:r>
      <w:r w:rsidR="0092759E">
        <w:rPr>
          <w:rFonts w:ascii="Melior Com" w:hAnsi="Melior Com"/>
          <w:i/>
        </w:rPr>
        <w:t xml:space="preserve">. </w:t>
      </w:r>
      <w:r w:rsidR="00E40157">
        <w:rPr>
          <w:rFonts w:ascii="Melior Com" w:hAnsi="Melior Com"/>
          <w:i/>
        </w:rPr>
        <w:t xml:space="preserve">Die </w:t>
      </w:r>
      <w:r w:rsidR="00047FE6">
        <w:rPr>
          <w:rFonts w:ascii="Melior Com" w:hAnsi="Melior Com"/>
          <w:i/>
        </w:rPr>
        <w:t xml:space="preserve">2015 eingeführte </w:t>
      </w:r>
      <w:r w:rsidR="00E40157">
        <w:rPr>
          <w:rFonts w:ascii="Melior Com" w:hAnsi="Melior Com"/>
          <w:i/>
        </w:rPr>
        <w:t>Mietpreisbremse w</w:t>
      </w:r>
      <w:r w:rsidR="00047FE6">
        <w:rPr>
          <w:rFonts w:ascii="Melior Com" w:hAnsi="Melior Com"/>
          <w:i/>
        </w:rPr>
        <w:t>ar von Anfang an so löchrig</w:t>
      </w:r>
      <w:r w:rsidR="00CA6EEA">
        <w:rPr>
          <w:rFonts w:ascii="Melior Com" w:hAnsi="Melior Com"/>
          <w:i/>
        </w:rPr>
        <w:t xml:space="preserve"> ge</w:t>
      </w:r>
      <w:r w:rsidR="00F64835">
        <w:rPr>
          <w:rFonts w:ascii="Melior Com" w:hAnsi="Melior Com"/>
          <w:i/>
        </w:rPr>
        <w:t>staltet</w:t>
      </w:r>
      <w:r w:rsidR="00047FE6">
        <w:rPr>
          <w:rFonts w:ascii="Melior Com" w:hAnsi="Melior Com"/>
          <w:i/>
        </w:rPr>
        <w:t>,</w:t>
      </w:r>
      <w:r w:rsidR="00E40157">
        <w:rPr>
          <w:rFonts w:ascii="Melior Com" w:hAnsi="Melior Com"/>
          <w:i/>
        </w:rPr>
        <w:t xml:space="preserve"> dass sie keinen wirksamen Schutz gegen hohe Mieten bietet.</w:t>
      </w:r>
      <w:r w:rsidR="00CA6EEA">
        <w:rPr>
          <w:rFonts w:ascii="Melior Com" w:hAnsi="Melior Com"/>
          <w:i/>
        </w:rPr>
        <w:t xml:space="preserve"> Das war beabsichtigt, damit Vermietende weiterhin das große Geld machen können.</w:t>
      </w:r>
      <w:r w:rsidR="00E40157">
        <w:rPr>
          <w:rFonts w:ascii="Melior Com" w:hAnsi="Melior Com"/>
          <w:i/>
        </w:rPr>
        <w:t xml:space="preserve"> </w:t>
      </w:r>
      <w:bookmarkEnd w:id="1"/>
    </w:p>
    <w:p w14:paraId="042E4266" w14:textId="77777777" w:rsidR="00CA6EEA" w:rsidRDefault="00CA6EEA" w:rsidP="00CA6EEA">
      <w:pPr>
        <w:jc w:val="both"/>
        <w:rPr>
          <w:rFonts w:ascii="Melior Com" w:hAnsi="Melior Com"/>
          <w:i/>
        </w:rPr>
      </w:pPr>
      <w:r w:rsidRPr="00CA6EEA">
        <w:rPr>
          <w:rFonts w:ascii="Melior Com" w:hAnsi="Melior Com"/>
          <w:i/>
        </w:rPr>
        <w:t>Die schwarzrote Koalition verlängert lediglich die bisher weitgehend wirkungslose Mietpreisbremse. Ein besserer Schutz der Mieterinnen und Mieter vor den enormen Mietsteigerungen ist nicht vorgesehen.</w:t>
      </w:r>
      <w:r>
        <w:rPr>
          <w:rFonts w:ascii="Melior Com" w:hAnsi="Melior Com"/>
          <w:i/>
        </w:rPr>
        <w:t xml:space="preserve"> So können Wohnungen, die vor über zehn Jahren das erste Mal vermietet wurden, weiterhin ohne Preisbremse vermietet werden.</w:t>
      </w:r>
      <w:r w:rsidRPr="00CA6EEA">
        <w:rPr>
          <w:rFonts w:ascii="Melior Com" w:hAnsi="Melior Com"/>
          <w:i/>
        </w:rPr>
        <w:t xml:space="preserve"> Notwendig wäre eine Nachschärfung: die Mietpreisbremse muss ohne Ausnahmen und flächendeckend gelten. Verstöße müssen sanktioniert werden, damit das Gesetz nicht weiter folgenlos umgangen werden kann. </w:t>
      </w:r>
    </w:p>
    <w:p w14:paraId="16BD85C3" w14:textId="73D9C382" w:rsidR="00CA6EEA" w:rsidRPr="00CA6EEA" w:rsidRDefault="00CA6EEA" w:rsidP="00CA6EEA">
      <w:pPr>
        <w:jc w:val="both"/>
        <w:rPr>
          <w:rFonts w:ascii="Melior Com" w:hAnsi="Melior Com"/>
          <w:i/>
        </w:rPr>
      </w:pPr>
      <w:r w:rsidRPr="00CA6EEA">
        <w:rPr>
          <w:rFonts w:ascii="Melior Com" w:hAnsi="Melior Com"/>
          <w:i/>
        </w:rPr>
        <w:t>Darüber hinaus braucht es einen sofortigen Mietenstopp für Bestandsmieten und perspektivisch einen bundesweiten Mietendeckel, damit die Mietenkrise überwunden wird."</w:t>
      </w:r>
    </w:p>
    <w:p w14:paraId="7779A09C" w14:textId="77777777" w:rsidR="00CA6EEA" w:rsidRDefault="00CA6EEA">
      <w:pPr>
        <w:jc w:val="both"/>
        <w:rPr>
          <w:rFonts w:ascii="Melior Com" w:hAnsi="Melior Com"/>
          <w:i/>
        </w:rPr>
      </w:pPr>
    </w:p>
    <w:p w14:paraId="04BCD82F" w14:textId="011D4C22" w:rsidR="00AF6230" w:rsidRDefault="008B3258" w:rsidP="003A15F3">
      <w:pPr>
        <w:suppressAutoHyphens/>
        <w:spacing w:after="0" w:line="240" w:lineRule="auto"/>
        <w:rPr>
          <w:rFonts w:ascii="Melior Com" w:hAnsi="Melior Com"/>
          <w:i/>
        </w:rPr>
      </w:pPr>
      <w:r>
        <w:rPr>
          <w:rFonts w:ascii="Melior Com" w:hAnsi="Melior Com"/>
          <w:i/>
        </w:rPr>
        <w:br w:type="page"/>
      </w:r>
    </w:p>
    <w:tbl>
      <w:tblPr>
        <w:tblW w:w="8000" w:type="dxa"/>
        <w:tblCellMar>
          <w:left w:w="70" w:type="dxa"/>
          <w:right w:w="70" w:type="dxa"/>
        </w:tblCellMar>
        <w:tblLook w:val="04A0" w:firstRow="1" w:lastRow="0" w:firstColumn="1" w:lastColumn="0" w:noHBand="0" w:noVBand="1"/>
      </w:tblPr>
      <w:tblGrid>
        <w:gridCol w:w="1560"/>
        <w:gridCol w:w="840"/>
        <w:gridCol w:w="1120"/>
        <w:gridCol w:w="2380"/>
        <w:gridCol w:w="2100"/>
      </w:tblGrid>
      <w:tr w:rsidR="00AE1292" w:rsidRPr="00AE1292" w14:paraId="7BDBF8E2" w14:textId="77777777" w:rsidTr="00AE1292">
        <w:trPr>
          <w:trHeight w:val="945"/>
        </w:trPr>
        <w:tc>
          <w:tcPr>
            <w:tcW w:w="8000" w:type="dxa"/>
            <w:gridSpan w:val="5"/>
            <w:tcBorders>
              <w:top w:val="nil"/>
              <w:left w:val="nil"/>
              <w:bottom w:val="nil"/>
              <w:right w:val="nil"/>
            </w:tcBorders>
            <w:shd w:val="clear" w:color="auto" w:fill="auto"/>
            <w:vAlign w:val="center"/>
            <w:hideMark/>
          </w:tcPr>
          <w:p w14:paraId="21C0C896" w14:textId="77777777" w:rsidR="00AE1292" w:rsidRPr="00AE1292" w:rsidRDefault="00AE1292" w:rsidP="00AE1292">
            <w:pPr>
              <w:spacing w:after="0" w:line="240" w:lineRule="auto"/>
              <w:rPr>
                <w:rFonts w:ascii="Tahoma" w:eastAsia="Times New Roman" w:hAnsi="Tahoma" w:cs="Tahoma"/>
                <w:b/>
                <w:bCs/>
                <w:color w:val="000000"/>
                <w:lang w:eastAsia="de-DE"/>
              </w:rPr>
            </w:pPr>
            <w:r w:rsidRPr="00AE1292">
              <w:rPr>
                <w:rFonts w:ascii="Tahoma" w:eastAsia="Times New Roman" w:hAnsi="Tahoma" w:cs="Tahoma"/>
                <w:b/>
                <w:bCs/>
                <w:lang w:eastAsia="de-DE"/>
              </w:rPr>
              <w:lastRenderedPageBreak/>
              <w:t>Erst- und Wiedervermietungsmieten im Internet veröffentlichter Wohnungsinserate der 14 größten Städte</w:t>
            </w:r>
            <w:r w:rsidRPr="00AE1292">
              <w:rPr>
                <w:rFonts w:ascii="Tahoma" w:eastAsia="Times New Roman" w:hAnsi="Tahoma" w:cs="Tahoma"/>
                <w:b/>
                <w:bCs/>
                <w:color w:val="000000"/>
                <w:lang w:eastAsia="de-DE"/>
              </w:rPr>
              <w:t xml:space="preserve"> Deutschlands </w:t>
            </w:r>
            <w:r w:rsidRPr="00AE1292">
              <w:rPr>
                <w:rFonts w:ascii="Tahoma" w:eastAsia="Times New Roman" w:hAnsi="Tahoma" w:cs="Tahoma"/>
                <w:b/>
                <w:bCs/>
                <w:color w:val="000000"/>
                <w:lang w:eastAsia="de-DE"/>
              </w:rPr>
              <w:br/>
              <w:t>2015 und 2024</w:t>
            </w:r>
          </w:p>
        </w:tc>
      </w:tr>
      <w:tr w:rsidR="00AE1292" w:rsidRPr="00AE1292" w14:paraId="3DACD01E" w14:textId="77777777" w:rsidTr="00AE1292">
        <w:trPr>
          <w:trHeight w:val="327"/>
        </w:trPr>
        <w:tc>
          <w:tcPr>
            <w:tcW w:w="3520" w:type="dxa"/>
            <w:gridSpan w:val="3"/>
            <w:tcBorders>
              <w:top w:val="nil"/>
              <w:left w:val="nil"/>
              <w:bottom w:val="nil"/>
              <w:right w:val="nil"/>
            </w:tcBorders>
            <w:shd w:val="clear" w:color="auto" w:fill="auto"/>
            <w:vAlign w:val="center"/>
            <w:hideMark/>
          </w:tcPr>
          <w:p w14:paraId="40E7E080" w14:textId="77777777" w:rsidR="00AE1292" w:rsidRPr="00AE1292" w:rsidRDefault="00AE1292" w:rsidP="00AE1292">
            <w:pPr>
              <w:spacing w:after="0" w:line="240" w:lineRule="auto"/>
              <w:rPr>
                <w:rFonts w:ascii="Tahoma" w:eastAsia="Times New Roman" w:hAnsi="Tahoma" w:cs="Tahoma"/>
                <w:b/>
                <w:bCs/>
                <w:color w:val="000000"/>
                <w:lang w:eastAsia="de-DE"/>
              </w:rPr>
            </w:pPr>
          </w:p>
        </w:tc>
        <w:tc>
          <w:tcPr>
            <w:tcW w:w="2380" w:type="dxa"/>
            <w:tcBorders>
              <w:top w:val="nil"/>
              <w:left w:val="nil"/>
              <w:bottom w:val="nil"/>
              <w:right w:val="nil"/>
            </w:tcBorders>
            <w:shd w:val="clear" w:color="auto" w:fill="auto"/>
            <w:hideMark/>
          </w:tcPr>
          <w:p w14:paraId="1A9C65A5" w14:textId="77777777" w:rsidR="00AE1292" w:rsidRPr="00AE1292" w:rsidRDefault="00AE1292" w:rsidP="00AE1292">
            <w:pPr>
              <w:spacing w:after="0" w:line="240" w:lineRule="auto"/>
              <w:rPr>
                <w:rFonts w:ascii="Times New Roman" w:eastAsia="Times New Roman" w:hAnsi="Times New Roman" w:cs="Times New Roman"/>
                <w:sz w:val="20"/>
                <w:szCs w:val="20"/>
                <w:lang w:eastAsia="de-DE"/>
              </w:rPr>
            </w:pPr>
          </w:p>
        </w:tc>
        <w:tc>
          <w:tcPr>
            <w:tcW w:w="2100" w:type="dxa"/>
            <w:tcBorders>
              <w:top w:val="nil"/>
              <w:left w:val="nil"/>
              <w:bottom w:val="nil"/>
              <w:right w:val="nil"/>
            </w:tcBorders>
            <w:shd w:val="clear" w:color="auto" w:fill="auto"/>
            <w:noWrap/>
            <w:vAlign w:val="bottom"/>
            <w:hideMark/>
          </w:tcPr>
          <w:p w14:paraId="7CF427EE" w14:textId="77777777" w:rsidR="00AE1292" w:rsidRPr="00AE1292" w:rsidRDefault="00AE1292" w:rsidP="00AE1292">
            <w:pPr>
              <w:spacing w:after="0" w:line="240" w:lineRule="auto"/>
              <w:jc w:val="center"/>
              <w:rPr>
                <w:rFonts w:ascii="Times New Roman" w:eastAsia="Times New Roman" w:hAnsi="Times New Roman" w:cs="Times New Roman"/>
                <w:sz w:val="20"/>
                <w:szCs w:val="20"/>
                <w:lang w:eastAsia="de-DE"/>
              </w:rPr>
            </w:pPr>
          </w:p>
        </w:tc>
      </w:tr>
      <w:tr w:rsidR="00AE1292" w:rsidRPr="00AE1292" w14:paraId="4D06BD53" w14:textId="77777777" w:rsidTr="00AE1292">
        <w:trPr>
          <w:trHeight w:val="327"/>
        </w:trPr>
        <w:tc>
          <w:tcPr>
            <w:tcW w:w="1560" w:type="dxa"/>
            <w:tcBorders>
              <w:top w:val="nil"/>
              <w:left w:val="nil"/>
              <w:bottom w:val="nil"/>
              <w:right w:val="nil"/>
            </w:tcBorders>
            <w:shd w:val="clear" w:color="auto" w:fill="auto"/>
            <w:vAlign w:val="center"/>
            <w:hideMark/>
          </w:tcPr>
          <w:p w14:paraId="29B8F614" w14:textId="77777777" w:rsidR="00AE1292" w:rsidRPr="00AE1292" w:rsidRDefault="00AE1292" w:rsidP="00AE1292">
            <w:pPr>
              <w:spacing w:after="0" w:line="240" w:lineRule="auto"/>
              <w:rPr>
                <w:rFonts w:ascii="Times New Roman" w:eastAsia="Times New Roman" w:hAnsi="Times New Roman" w:cs="Times New Roman"/>
                <w:sz w:val="20"/>
                <w:szCs w:val="20"/>
                <w:lang w:eastAsia="de-DE"/>
              </w:rPr>
            </w:pPr>
          </w:p>
        </w:tc>
        <w:tc>
          <w:tcPr>
            <w:tcW w:w="840" w:type="dxa"/>
            <w:tcBorders>
              <w:top w:val="nil"/>
              <w:left w:val="nil"/>
              <w:bottom w:val="nil"/>
              <w:right w:val="nil"/>
            </w:tcBorders>
            <w:shd w:val="clear" w:color="auto" w:fill="auto"/>
            <w:vAlign w:val="center"/>
            <w:hideMark/>
          </w:tcPr>
          <w:p w14:paraId="37C51550" w14:textId="77777777" w:rsidR="00AE1292" w:rsidRPr="00AE1292" w:rsidRDefault="00AE1292" w:rsidP="00AE1292">
            <w:pPr>
              <w:spacing w:after="0" w:line="240" w:lineRule="auto"/>
              <w:rPr>
                <w:rFonts w:ascii="Times New Roman" w:eastAsia="Times New Roman" w:hAnsi="Times New Roman" w:cs="Times New Roman"/>
                <w:sz w:val="20"/>
                <w:szCs w:val="20"/>
                <w:lang w:eastAsia="de-DE"/>
              </w:rPr>
            </w:pPr>
          </w:p>
        </w:tc>
        <w:tc>
          <w:tcPr>
            <w:tcW w:w="1120" w:type="dxa"/>
            <w:tcBorders>
              <w:top w:val="nil"/>
              <w:left w:val="nil"/>
              <w:bottom w:val="nil"/>
              <w:right w:val="nil"/>
            </w:tcBorders>
            <w:shd w:val="clear" w:color="auto" w:fill="auto"/>
            <w:vAlign w:val="center"/>
            <w:hideMark/>
          </w:tcPr>
          <w:p w14:paraId="1ECF72CF" w14:textId="77777777" w:rsidR="00AE1292" w:rsidRPr="00AE1292" w:rsidRDefault="00AE1292" w:rsidP="00AE1292">
            <w:pPr>
              <w:spacing w:after="0" w:line="240" w:lineRule="auto"/>
              <w:rPr>
                <w:rFonts w:ascii="Times New Roman" w:eastAsia="Times New Roman" w:hAnsi="Times New Roman" w:cs="Times New Roman"/>
                <w:sz w:val="20"/>
                <w:szCs w:val="20"/>
                <w:lang w:eastAsia="de-DE"/>
              </w:rPr>
            </w:pPr>
          </w:p>
        </w:tc>
        <w:tc>
          <w:tcPr>
            <w:tcW w:w="2380" w:type="dxa"/>
            <w:tcBorders>
              <w:top w:val="nil"/>
              <w:left w:val="nil"/>
              <w:bottom w:val="nil"/>
              <w:right w:val="nil"/>
            </w:tcBorders>
            <w:shd w:val="clear" w:color="auto" w:fill="auto"/>
            <w:hideMark/>
          </w:tcPr>
          <w:p w14:paraId="17743363" w14:textId="77777777" w:rsidR="00AE1292" w:rsidRPr="00AE1292" w:rsidRDefault="00AE1292" w:rsidP="00AE1292">
            <w:pPr>
              <w:spacing w:after="0" w:line="240" w:lineRule="auto"/>
              <w:rPr>
                <w:rFonts w:ascii="Times New Roman" w:eastAsia="Times New Roman" w:hAnsi="Times New Roman" w:cs="Times New Roman"/>
                <w:sz w:val="20"/>
                <w:szCs w:val="20"/>
                <w:lang w:eastAsia="de-DE"/>
              </w:rPr>
            </w:pPr>
          </w:p>
        </w:tc>
        <w:tc>
          <w:tcPr>
            <w:tcW w:w="2100" w:type="dxa"/>
            <w:tcBorders>
              <w:top w:val="nil"/>
              <w:left w:val="nil"/>
              <w:bottom w:val="nil"/>
              <w:right w:val="nil"/>
            </w:tcBorders>
            <w:shd w:val="clear" w:color="auto" w:fill="auto"/>
            <w:noWrap/>
            <w:vAlign w:val="bottom"/>
            <w:hideMark/>
          </w:tcPr>
          <w:p w14:paraId="5FE41BAE" w14:textId="77777777" w:rsidR="00AE1292" w:rsidRPr="00AE1292" w:rsidRDefault="00AE1292" w:rsidP="00AE1292">
            <w:pPr>
              <w:spacing w:after="0" w:line="240" w:lineRule="auto"/>
              <w:jc w:val="center"/>
              <w:rPr>
                <w:rFonts w:ascii="Times New Roman" w:eastAsia="Times New Roman" w:hAnsi="Times New Roman" w:cs="Times New Roman"/>
                <w:sz w:val="20"/>
                <w:szCs w:val="20"/>
                <w:lang w:eastAsia="de-DE"/>
              </w:rPr>
            </w:pPr>
          </w:p>
        </w:tc>
      </w:tr>
      <w:tr w:rsidR="00AE1292" w:rsidRPr="00AE1292" w14:paraId="6567B824" w14:textId="77777777" w:rsidTr="00AE1292">
        <w:trPr>
          <w:trHeight w:val="85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9EE33" w14:textId="77777777" w:rsidR="00AE1292" w:rsidRPr="00AE1292" w:rsidRDefault="00AE1292" w:rsidP="00AE1292">
            <w:pPr>
              <w:spacing w:after="0" w:line="240" w:lineRule="auto"/>
              <w:rPr>
                <w:rFonts w:ascii="Calibri" w:eastAsia="Times New Roman" w:hAnsi="Calibri" w:cs="Calibri"/>
                <w:b/>
                <w:bCs/>
                <w:color w:val="000000"/>
                <w:lang w:eastAsia="de-DE"/>
              </w:rPr>
            </w:pPr>
            <w:r w:rsidRPr="00AE1292">
              <w:rPr>
                <w:rFonts w:ascii="Calibri" w:eastAsia="Times New Roman" w:hAnsi="Calibri" w:cs="Calibri"/>
                <w:b/>
                <w:bCs/>
                <w:color w:val="000000"/>
                <w:lang w:eastAsia="de-DE"/>
              </w:rPr>
              <w:t>Stadt</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A53D439" w14:textId="77777777" w:rsidR="00AE1292" w:rsidRPr="00AE1292" w:rsidRDefault="00AE1292" w:rsidP="00AE1292">
            <w:pPr>
              <w:spacing w:after="0" w:line="240" w:lineRule="auto"/>
              <w:jc w:val="center"/>
              <w:rPr>
                <w:rFonts w:ascii="Calibri" w:eastAsia="Times New Roman" w:hAnsi="Calibri" w:cs="Calibri"/>
                <w:b/>
                <w:bCs/>
                <w:color w:val="000000"/>
                <w:lang w:eastAsia="de-DE"/>
              </w:rPr>
            </w:pPr>
            <w:r w:rsidRPr="00AE1292">
              <w:rPr>
                <w:rFonts w:ascii="Calibri" w:eastAsia="Times New Roman" w:hAnsi="Calibri" w:cs="Calibri"/>
                <w:b/>
                <w:bCs/>
                <w:color w:val="000000"/>
                <w:lang w:eastAsia="de-DE"/>
              </w:rPr>
              <w:t>2015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D01634C" w14:textId="77777777" w:rsidR="00AE1292" w:rsidRPr="00AE1292" w:rsidRDefault="00AE1292" w:rsidP="00AE1292">
            <w:pPr>
              <w:spacing w:after="0" w:line="240" w:lineRule="auto"/>
              <w:jc w:val="center"/>
              <w:rPr>
                <w:rFonts w:ascii="Calibri" w:eastAsia="Times New Roman" w:hAnsi="Calibri" w:cs="Calibri"/>
                <w:b/>
                <w:bCs/>
                <w:color w:val="000000"/>
                <w:lang w:eastAsia="de-DE"/>
              </w:rPr>
            </w:pPr>
            <w:r w:rsidRPr="00AE1292">
              <w:rPr>
                <w:rFonts w:ascii="Calibri" w:eastAsia="Times New Roman" w:hAnsi="Calibri" w:cs="Calibri"/>
                <w:b/>
                <w:bCs/>
                <w:color w:val="000000"/>
                <w:lang w:eastAsia="de-DE"/>
              </w:rPr>
              <w:t>2024</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694B5D95" w14:textId="77777777" w:rsidR="00AE1292" w:rsidRPr="00AE1292" w:rsidRDefault="00AE1292" w:rsidP="00AE1292">
            <w:pPr>
              <w:spacing w:after="0" w:line="240" w:lineRule="auto"/>
              <w:jc w:val="center"/>
              <w:rPr>
                <w:rFonts w:ascii="Tahoma" w:eastAsia="Times New Roman" w:hAnsi="Tahoma" w:cs="Tahoma"/>
                <w:b/>
                <w:bCs/>
                <w:color w:val="000000"/>
                <w:sz w:val="18"/>
                <w:szCs w:val="18"/>
                <w:lang w:eastAsia="de-DE"/>
              </w:rPr>
            </w:pPr>
            <w:r w:rsidRPr="00AE1292">
              <w:rPr>
                <w:rFonts w:ascii="Tahoma" w:eastAsia="Times New Roman" w:hAnsi="Tahoma" w:cs="Tahoma"/>
                <w:b/>
                <w:bCs/>
                <w:color w:val="000000"/>
                <w:sz w:val="18"/>
                <w:szCs w:val="18"/>
                <w:lang w:eastAsia="de-DE"/>
              </w:rPr>
              <w:t>Durchschn. Mietsteigerung pro Jahr 2015-24 in %</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0B520A74" w14:textId="77777777" w:rsidR="00AE1292" w:rsidRPr="00AE1292" w:rsidRDefault="00AE1292" w:rsidP="00AE1292">
            <w:pPr>
              <w:spacing w:after="0" w:line="240" w:lineRule="auto"/>
              <w:jc w:val="center"/>
              <w:rPr>
                <w:rFonts w:ascii="Tahoma" w:eastAsia="Times New Roman" w:hAnsi="Tahoma" w:cs="Tahoma"/>
                <w:b/>
                <w:bCs/>
                <w:color w:val="000000"/>
                <w:sz w:val="18"/>
                <w:szCs w:val="18"/>
                <w:lang w:eastAsia="de-DE"/>
              </w:rPr>
            </w:pPr>
            <w:r w:rsidRPr="00AE1292">
              <w:rPr>
                <w:rFonts w:ascii="Tahoma" w:eastAsia="Times New Roman" w:hAnsi="Tahoma" w:cs="Tahoma"/>
                <w:b/>
                <w:bCs/>
                <w:color w:val="000000"/>
                <w:sz w:val="18"/>
                <w:szCs w:val="18"/>
                <w:lang w:eastAsia="de-DE"/>
              </w:rPr>
              <w:t xml:space="preserve">Ges. Mietsteigerung  </w:t>
            </w:r>
            <w:r w:rsidRPr="00AE1292">
              <w:rPr>
                <w:rFonts w:ascii="Tahoma" w:eastAsia="Times New Roman" w:hAnsi="Tahoma" w:cs="Tahoma"/>
                <w:b/>
                <w:bCs/>
                <w:color w:val="000000"/>
                <w:sz w:val="18"/>
                <w:szCs w:val="18"/>
                <w:lang w:eastAsia="de-DE"/>
              </w:rPr>
              <w:br/>
              <w:t>2015-24 in % *</w:t>
            </w:r>
          </w:p>
        </w:tc>
      </w:tr>
      <w:tr w:rsidR="00AE1292" w:rsidRPr="00AE1292" w14:paraId="02CB97C3" w14:textId="77777777" w:rsidTr="00AE1292">
        <w:trPr>
          <w:trHeight w:val="327"/>
        </w:trPr>
        <w:tc>
          <w:tcPr>
            <w:tcW w:w="1560" w:type="dxa"/>
            <w:tcBorders>
              <w:top w:val="nil"/>
              <w:left w:val="single" w:sz="4" w:space="0" w:color="auto"/>
              <w:bottom w:val="nil"/>
              <w:right w:val="single" w:sz="4" w:space="0" w:color="auto"/>
            </w:tcBorders>
            <w:shd w:val="clear" w:color="auto" w:fill="auto"/>
            <w:vAlign w:val="center"/>
            <w:hideMark/>
          </w:tcPr>
          <w:p w14:paraId="5710192A" w14:textId="77777777" w:rsidR="00AE1292" w:rsidRPr="00AE1292" w:rsidRDefault="00AE1292" w:rsidP="00AE1292">
            <w:pPr>
              <w:spacing w:after="0" w:line="240" w:lineRule="auto"/>
              <w:rPr>
                <w:rFonts w:ascii="Tahoma" w:eastAsia="Times New Roman" w:hAnsi="Tahoma" w:cs="Tahoma"/>
                <w:color w:val="000000"/>
                <w:sz w:val="19"/>
                <w:szCs w:val="19"/>
                <w:lang w:eastAsia="de-DE"/>
              </w:rPr>
            </w:pPr>
            <w:r w:rsidRPr="00AE1292">
              <w:rPr>
                <w:rFonts w:ascii="Tahoma" w:eastAsia="Times New Roman" w:hAnsi="Tahoma" w:cs="Tahoma"/>
                <w:sz w:val="19"/>
                <w:szCs w:val="19"/>
                <w:lang w:eastAsia="de-DE"/>
              </w:rPr>
              <w:t>Berlin</w:t>
            </w:r>
          </w:p>
        </w:tc>
        <w:tc>
          <w:tcPr>
            <w:tcW w:w="840" w:type="dxa"/>
            <w:tcBorders>
              <w:top w:val="nil"/>
              <w:left w:val="nil"/>
              <w:bottom w:val="nil"/>
              <w:right w:val="single" w:sz="4" w:space="0" w:color="auto"/>
            </w:tcBorders>
            <w:shd w:val="clear" w:color="auto" w:fill="auto"/>
            <w:vAlign w:val="center"/>
            <w:hideMark/>
          </w:tcPr>
          <w:p w14:paraId="1FA2432A"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8,52</w:t>
            </w:r>
          </w:p>
        </w:tc>
        <w:tc>
          <w:tcPr>
            <w:tcW w:w="1120" w:type="dxa"/>
            <w:tcBorders>
              <w:top w:val="nil"/>
              <w:left w:val="nil"/>
              <w:bottom w:val="nil"/>
              <w:right w:val="single" w:sz="4" w:space="0" w:color="auto"/>
            </w:tcBorders>
            <w:shd w:val="clear" w:color="auto" w:fill="auto"/>
            <w:vAlign w:val="center"/>
            <w:hideMark/>
          </w:tcPr>
          <w:p w14:paraId="2EF7731B"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17,64</w:t>
            </w:r>
          </w:p>
        </w:tc>
        <w:tc>
          <w:tcPr>
            <w:tcW w:w="2380" w:type="dxa"/>
            <w:tcBorders>
              <w:top w:val="nil"/>
              <w:left w:val="nil"/>
              <w:bottom w:val="nil"/>
              <w:right w:val="single" w:sz="4" w:space="0" w:color="auto"/>
            </w:tcBorders>
            <w:shd w:val="clear" w:color="auto" w:fill="auto"/>
            <w:vAlign w:val="center"/>
            <w:hideMark/>
          </w:tcPr>
          <w:p w14:paraId="6607AC45"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8,4</w:t>
            </w:r>
          </w:p>
        </w:tc>
        <w:tc>
          <w:tcPr>
            <w:tcW w:w="2100" w:type="dxa"/>
            <w:tcBorders>
              <w:top w:val="nil"/>
              <w:left w:val="nil"/>
              <w:bottom w:val="nil"/>
              <w:right w:val="single" w:sz="4" w:space="0" w:color="auto"/>
            </w:tcBorders>
            <w:shd w:val="clear" w:color="auto" w:fill="auto"/>
            <w:noWrap/>
            <w:vAlign w:val="bottom"/>
            <w:hideMark/>
          </w:tcPr>
          <w:p w14:paraId="4F68CE9F"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+ 107</w:t>
            </w:r>
          </w:p>
        </w:tc>
      </w:tr>
      <w:tr w:rsidR="00AE1292" w:rsidRPr="00AE1292" w14:paraId="2CF41A3C" w14:textId="77777777" w:rsidTr="00AE1292">
        <w:trPr>
          <w:trHeight w:val="327"/>
        </w:trPr>
        <w:tc>
          <w:tcPr>
            <w:tcW w:w="1560" w:type="dxa"/>
            <w:tcBorders>
              <w:top w:val="nil"/>
              <w:left w:val="single" w:sz="4" w:space="0" w:color="auto"/>
              <w:bottom w:val="nil"/>
              <w:right w:val="single" w:sz="4" w:space="0" w:color="auto"/>
            </w:tcBorders>
            <w:shd w:val="clear" w:color="auto" w:fill="auto"/>
            <w:vAlign w:val="center"/>
            <w:hideMark/>
          </w:tcPr>
          <w:p w14:paraId="5789B9D4" w14:textId="77777777" w:rsidR="00AE1292" w:rsidRPr="00AE1292" w:rsidRDefault="00AE1292" w:rsidP="00AE1292">
            <w:pPr>
              <w:spacing w:after="0" w:line="240" w:lineRule="auto"/>
              <w:rPr>
                <w:rFonts w:ascii="Tahoma" w:eastAsia="Times New Roman" w:hAnsi="Tahoma" w:cs="Tahoma"/>
                <w:sz w:val="19"/>
                <w:szCs w:val="19"/>
                <w:lang w:eastAsia="de-DE"/>
              </w:rPr>
            </w:pPr>
            <w:r w:rsidRPr="00AE1292">
              <w:rPr>
                <w:rFonts w:ascii="Tahoma" w:eastAsia="Times New Roman" w:hAnsi="Tahoma" w:cs="Tahoma"/>
                <w:sz w:val="19"/>
                <w:szCs w:val="19"/>
                <w:lang w:eastAsia="de-DE"/>
              </w:rPr>
              <w:t>Leipzig</w:t>
            </w:r>
          </w:p>
        </w:tc>
        <w:tc>
          <w:tcPr>
            <w:tcW w:w="840" w:type="dxa"/>
            <w:tcBorders>
              <w:top w:val="nil"/>
              <w:left w:val="nil"/>
              <w:bottom w:val="nil"/>
              <w:right w:val="single" w:sz="4" w:space="0" w:color="auto"/>
            </w:tcBorders>
            <w:shd w:val="clear" w:color="auto" w:fill="auto"/>
            <w:vAlign w:val="center"/>
            <w:hideMark/>
          </w:tcPr>
          <w:p w14:paraId="59AAD761"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5,76</w:t>
            </w:r>
          </w:p>
        </w:tc>
        <w:tc>
          <w:tcPr>
            <w:tcW w:w="1120" w:type="dxa"/>
            <w:tcBorders>
              <w:top w:val="nil"/>
              <w:left w:val="nil"/>
              <w:bottom w:val="nil"/>
              <w:right w:val="single" w:sz="4" w:space="0" w:color="auto"/>
            </w:tcBorders>
            <w:shd w:val="clear" w:color="auto" w:fill="auto"/>
            <w:vAlign w:val="center"/>
            <w:hideMark/>
          </w:tcPr>
          <w:p w14:paraId="0A157B29"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9,66</w:t>
            </w:r>
          </w:p>
        </w:tc>
        <w:tc>
          <w:tcPr>
            <w:tcW w:w="2380" w:type="dxa"/>
            <w:tcBorders>
              <w:top w:val="nil"/>
              <w:left w:val="nil"/>
              <w:bottom w:val="nil"/>
              <w:right w:val="single" w:sz="4" w:space="0" w:color="auto"/>
            </w:tcBorders>
            <w:shd w:val="clear" w:color="auto" w:fill="auto"/>
            <w:vAlign w:val="center"/>
            <w:hideMark/>
          </w:tcPr>
          <w:p w14:paraId="75227BFA"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5,9</w:t>
            </w:r>
          </w:p>
        </w:tc>
        <w:tc>
          <w:tcPr>
            <w:tcW w:w="2100" w:type="dxa"/>
            <w:tcBorders>
              <w:top w:val="nil"/>
              <w:left w:val="nil"/>
              <w:bottom w:val="nil"/>
              <w:right w:val="single" w:sz="4" w:space="0" w:color="auto"/>
            </w:tcBorders>
            <w:shd w:val="clear" w:color="auto" w:fill="auto"/>
            <w:noWrap/>
            <w:vAlign w:val="bottom"/>
            <w:hideMark/>
          </w:tcPr>
          <w:p w14:paraId="46FB2CD7"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+ 68</w:t>
            </w:r>
          </w:p>
        </w:tc>
      </w:tr>
      <w:tr w:rsidR="00AE1292" w:rsidRPr="00AE1292" w14:paraId="4B021E36" w14:textId="77777777" w:rsidTr="00AE1292">
        <w:trPr>
          <w:trHeight w:val="312"/>
        </w:trPr>
        <w:tc>
          <w:tcPr>
            <w:tcW w:w="1560" w:type="dxa"/>
            <w:tcBorders>
              <w:top w:val="nil"/>
              <w:left w:val="single" w:sz="4" w:space="0" w:color="auto"/>
              <w:bottom w:val="nil"/>
              <w:right w:val="single" w:sz="4" w:space="0" w:color="auto"/>
            </w:tcBorders>
            <w:shd w:val="clear" w:color="auto" w:fill="auto"/>
            <w:vAlign w:val="center"/>
            <w:hideMark/>
          </w:tcPr>
          <w:p w14:paraId="2B9F3961" w14:textId="77777777" w:rsidR="00AE1292" w:rsidRPr="00AE1292" w:rsidRDefault="00AE1292" w:rsidP="00AE1292">
            <w:pPr>
              <w:spacing w:after="0" w:line="240" w:lineRule="auto"/>
              <w:rPr>
                <w:rFonts w:ascii="Tahoma" w:eastAsia="Times New Roman" w:hAnsi="Tahoma" w:cs="Tahoma"/>
                <w:sz w:val="19"/>
                <w:szCs w:val="19"/>
                <w:lang w:eastAsia="de-DE"/>
              </w:rPr>
            </w:pPr>
            <w:r w:rsidRPr="00AE1292">
              <w:rPr>
                <w:rFonts w:ascii="Tahoma" w:eastAsia="Times New Roman" w:hAnsi="Tahoma" w:cs="Tahoma"/>
                <w:sz w:val="19"/>
                <w:szCs w:val="19"/>
                <w:lang w:eastAsia="de-DE"/>
              </w:rPr>
              <w:t>Bremen</w:t>
            </w:r>
          </w:p>
        </w:tc>
        <w:tc>
          <w:tcPr>
            <w:tcW w:w="840" w:type="dxa"/>
            <w:tcBorders>
              <w:top w:val="nil"/>
              <w:left w:val="nil"/>
              <w:bottom w:val="nil"/>
              <w:right w:val="single" w:sz="4" w:space="0" w:color="auto"/>
            </w:tcBorders>
            <w:shd w:val="clear" w:color="auto" w:fill="auto"/>
            <w:vAlign w:val="center"/>
            <w:hideMark/>
          </w:tcPr>
          <w:p w14:paraId="1668FFF4"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6,80</w:t>
            </w:r>
          </w:p>
        </w:tc>
        <w:tc>
          <w:tcPr>
            <w:tcW w:w="1120" w:type="dxa"/>
            <w:tcBorders>
              <w:top w:val="nil"/>
              <w:left w:val="nil"/>
              <w:bottom w:val="nil"/>
              <w:right w:val="single" w:sz="4" w:space="0" w:color="auto"/>
            </w:tcBorders>
            <w:shd w:val="clear" w:color="auto" w:fill="auto"/>
            <w:vAlign w:val="center"/>
            <w:hideMark/>
          </w:tcPr>
          <w:p w14:paraId="552FF294"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10,68</w:t>
            </w:r>
          </w:p>
        </w:tc>
        <w:tc>
          <w:tcPr>
            <w:tcW w:w="2380" w:type="dxa"/>
            <w:tcBorders>
              <w:top w:val="nil"/>
              <w:left w:val="nil"/>
              <w:bottom w:val="nil"/>
              <w:right w:val="single" w:sz="4" w:space="0" w:color="auto"/>
            </w:tcBorders>
            <w:shd w:val="clear" w:color="auto" w:fill="auto"/>
            <w:vAlign w:val="center"/>
            <w:hideMark/>
          </w:tcPr>
          <w:p w14:paraId="2B7A07C9"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5,1</w:t>
            </w:r>
          </w:p>
        </w:tc>
        <w:tc>
          <w:tcPr>
            <w:tcW w:w="2100" w:type="dxa"/>
            <w:tcBorders>
              <w:top w:val="nil"/>
              <w:left w:val="nil"/>
              <w:bottom w:val="nil"/>
              <w:right w:val="single" w:sz="4" w:space="0" w:color="auto"/>
            </w:tcBorders>
            <w:shd w:val="clear" w:color="auto" w:fill="auto"/>
            <w:noWrap/>
            <w:vAlign w:val="bottom"/>
            <w:hideMark/>
          </w:tcPr>
          <w:p w14:paraId="038972B4"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+ 57</w:t>
            </w:r>
          </w:p>
        </w:tc>
      </w:tr>
      <w:tr w:rsidR="00AE1292" w:rsidRPr="00AE1292" w14:paraId="18E612EF" w14:textId="77777777" w:rsidTr="00AE1292">
        <w:trPr>
          <w:trHeight w:val="312"/>
        </w:trPr>
        <w:tc>
          <w:tcPr>
            <w:tcW w:w="1560" w:type="dxa"/>
            <w:tcBorders>
              <w:top w:val="nil"/>
              <w:left w:val="single" w:sz="4" w:space="0" w:color="auto"/>
              <w:bottom w:val="nil"/>
              <w:right w:val="single" w:sz="4" w:space="0" w:color="auto"/>
            </w:tcBorders>
            <w:shd w:val="clear" w:color="auto" w:fill="auto"/>
            <w:vAlign w:val="center"/>
            <w:hideMark/>
          </w:tcPr>
          <w:p w14:paraId="2B4DC7A6" w14:textId="77777777" w:rsidR="00AE1292" w:rsidRPr="00AE1292" w:rsidRDefault="00AE1292" w:rsidP="00AE1292">
            <w:pPr>
              <w:spacing w:after="0" w:line="240" w:lineRule="auto"/>
              <w:rPr>
                <w:rFonts w:ascii="Tahoma" w:eastAsia="Times New Roman" w:hAnsi="Tahoma" w:cs="Tahoma"/>
                <w:sz w:val="19"/>
                <w:szCs w:val="19"/>
                <w:lang w:eastAsia="de-DE"/>
              </w:rPr>
            </w:pPr>
            <w:r w:rsidRPr="00AE1292">
              <w:rPr>
                <w:rFonts w:ascii="Tahoma" w:eastAsia="Times New Roman" w:hAnsi="Tahoma" w:cs="Tahoma"/>
                <w:sz w:val="19"/>
                <w:szCs w:val="19"/>
                <w:lang w:eastAsia="de-DE"/>
              </w:rPr>
              <w:t>München</w:t>
            </w:r>
          </w:p>
        </w:tc>
        <w:tc>
          <w:tcPr>
            <w:tcW w:w="840" w:type="dxa"/>
            <w:tcBorders>
              <w:top w:val="nil"/>
              <w:left w:val="nil"/>
              <w:bottom w:val="nil"/>
              <w:right w:val="single" w:sz="4" w:space="0" w:color="auto"/>
            </w:tcBorders>
            <w:shd w:val="clear" w:color="auto" w:fill="auto"/>
            <w:vAlign w:val="center"/>
            <w:hideMark/>
          </w:tcPr>
          <w:p w14:paraId="61F0F076"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14,58</w:t>
            </w:r>
          </w:p>
        </w:tc>
        <w:tc>
          <w:tcPr>
            <w:tcW w:w="1120" w:type="dxa"/>
            <w:tcBorders>
              <w:top w:val="nil"/>
              <w:left w:val="nil"/>
              <w:bottom w:val="nil"/>
              <w:right w:val="single" w:sz="4" w:space="0" w:color="auto"/>
            </w:tcBorders>
            <w:shd w:val="clear" w:color="auto" w:fill="auto"/>
            <w:vAlign w:val="center"/>
            <w:hideMark/>
          </w:tcPr>
          <w:p w14:paraId="7345D1CE"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21,88</w:t>
            </w:r>
          </w:p>
        </w:tc>
        <w:tc>
          <w:tcPr>
            <w:tcW w:w="2380" w:type="dxa"/>
            <w:tcBorders>
              <w:top w:val="nil"/>
              <w:left w:val="nil"/>
              <w:bottom w:val="nil"/>
              <w:right w:val="single" w:sz="4" w:space="0" w:color="auto"/>
            </w:tcBorders>
            <w:shd w:val="clear" w:color="auto" w:fill="auto"/>
            <w:vAlign w:val="center"/>
            <w:hideMark/>
          </w:tcPr>
          <w:p w14:paraId="588EBE1A"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4,6</w:t>
            </w:r>
          </w:p>
        </w:tc>
        <w:tc>
          <w:tcPr>
            <w:tcW w:w="2100" w:type="dxa"/>
            <w:tcBorders>
              <w:top w:val="nil"/>
              <w:left w:val="nil"/>
              <w:bottom w:val="nil"/>
              <w:right w:val="single" w:sz="4" w:space="0" w:color="auto"/>
            </w:tcBorders>
            <w:shd w:val="clear" w:color="auto" w:fill="auto"/>
            <w:noWrap/>
            <w:vAlign w:val="bottom"/>
            <w:hideMark/>
          </w:tcPr>
          <w:p w14:paraId="771FC56E"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+ 50</w:t>
            </w:r>
          </w:p>
        </w:tc>
      </w:tr>
      <w:tr w:rsidR="00AE1292" w:rsidRPr="00AE1292" w14:paraId="590C3D3D" w14:textId="77777777" w:rsidTr="00AE1292">
        <w:trPr>
          <w:trHeight w:val="312"/>
        </w:trPr>
        <w:tc>
          <w:tcPr>
            <w:tcW w:w="1560" w:type="dxa"/>
            <w:tcBorders>
              <w:top w:val="nil"/>
              <w:left w:val="single" w:sz="4" w:space="0" w:color="auto"/>
              <w:bottom w:val="nil"/>
              <w:right w:val="single" w:sz="4" w:space="0" w:color="auto"/>
            </w:tcBorders>
            <w:shd w:val="clear" w:color="auto" w:fill="auto"/>
            <w:vAlign w:val="center"/>
            <w:hideMark/>
          </w:tcPr>
          <w:p w14:paraId="4D712BF9" w14:textId="77777777" w:rsidR="00AE1292" w:rsidRPr="00AE1292" w:rsidRDefault="00AE1292" w:rsidP="00AE1292">
            <w:pPr>
              <w:spacing w:after="0" w:line="240" w:lineRule="auto"/>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Dortmund</w:t>
            </w:r>
          </w:p>
        </w:tc>
        <w:tc>
          <w:tcPr>
            <w:tcW w:w="840" w:type="dxa"/>
            <w:tcBorders>
              <w:top w:val="nil"/>
              <w:left w:val="nil"/>
              <w:bottom w:val="nil"/>
              <w:right w:val="single" w:sz="4" w:space="0" w:color="auto"/>
            </w:tcBorders>
            <w:shd w:val="clear" w:color="auto" w:fill="auto"/>
            <w:vAlign w:val="center"/>
            <w:hideMark/>
          </w:tcPr>
          <w:p w14:paraId="09B0BE6F"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6,27</w:t>
            </w:r>
          </w:p>
        </w:tc>
        <w:tc>
          <w:tcPr>
            <w:tcW w:w="1120" w:type="dxa"/>
            <w:tcBorders>
              <w:top w:val="nil"/>
              <w:left w:val="nil"/>
              <w:bottom w:val="nil"/>
              <w:right w:val="single" w:sz="4" w:space="0" w:color="auto"/>
            </w:tcBorders>
            <w:shd w:val="clear" w:color="auto" w:fill="auto"/>
            <w:vAlign w:val="center"/>
            <w:hideMark/>
          </w:tcPr>
          <w:p w14:paraId="5C866D08"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9,27</w:t>
            </w:r>
          </w:p>
        </w:tc>
        <w:tc>
          <w:tcPr>
            <w:tcW w:w="2380" w:type="dxa"/>
            <w:tcBorders>
              <w:top w:val="nil"/>
              <w:left w:val="nil"/>
              <w:bottom w:val="nil"/>
              <w:right w:val="single" w:sz="4" w:space="0" w:color="auto"/>
            </w:tcBorders>
            <w:shd w:val="clear" w:color="auto" w:fill="auto"/>
            <w:vAlign w:val="center"/>
            <w:hideMark/>
          </w:tcPr>
          <w:p w14:paraId="2C11BB67"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4,4</w:t>
            </w:r>
          </w:p>
        </w:tc>
        <w:tc>
          <w:tcPr>
            <w:tcW w:w="2100" w:type="dxa"/>
            <w:tcBorders>
              <w:top w:val="nil"/>
              <w:left w:val="nil"/>
              <w:bottom w:val="nil"/>
              <w:right w:val="single" w:sz="4" w:space="0" w:color="auto"/>
            </w:tcBorders>
            <w:shd w:val="clear" w:color="auto" w:fill="auto"/>
            <w:noWrap/>
            <w:vAlign w:val="bottom"/>
            <w:hideMark/>
          </w:tcPr>
          <w:p w14:paraId="3F4F1CAF"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+ 48</w:t>
            </w:r>
          </w:p>
        </w:tc>
      </w:tr>
      <w:tr w:rsidR="00AE1292" w:rsidRPr="00AE1292" w14:paraId="4A43AC1F" w14:textId="77777777" w:rsidTr="00AE1292">
        <w:trPr>
          <w:trHeight w:val="312"/>
        </w:trPr>
        <w:tc>
          <w:tcPr>
            <w:tcW w:w="1560" w:type="dxa"/>
            <w:tcBorders>
              <w:top w:val="nil"/>
              <w:left w:val="single" w:sz="4" w:space="0" w:color="auto"/>
              <w:bottom w:val="nil"/>
              <w:right w:val="single" w:sz="4" w:space="0" w:color="auto"/>
            </w:tcBorders>
            <w:shd w:val="clear" w:color="auto" w:fill="auto"/>
            <w:hideMark/>
          </w:tcPr>
          <w:p w14:paraId="45963AEE" w14:textId="77777777" w:rsidR="00AE1292" w:rsidRPr="00AE1292" w:rsidRDefault="00AE1292" w:rsidP="00AE1292">
            <w:pPr>
              <w:spacing w:after="0" w:line="240" w:lineRule="auto"/>
              <w:rPr>
                <w:rFonts w:ascii="Tahoma" w:eastAsia="Times New Roman" w:hAnsi="Tahoma" w:cs="Tahoma"/>
                <w:sz w:val="19"/>
                <w:szCs w:val="19"/>
                <w:lang w:eastAsia="de-DE"/>
              </w:rPr>
            </w:pPr>
            <w:r w:rsidRPr="00AE1292">
              <w:rPr>
                <w:rFonts w:ascii="Tahoma" w:eastAsia="Times New Roman" w:hAnsi="Tahoma" w:cs="Tahoma"/>
                <w:sz w:val="19"/>
                <w:szCs w:val="19"/>
                <w:lang w:eastAsia="de-DE"/>
              </w:rPr>
              <w:t>Köln</w:t>
            </w:r>
          </w:p>
        </w:tc>
        <w:tc>
          <w:tcPr>
            <w:tcW w:w="840" w:type="dxa"/>
            <w:tcBorders>
              <w:top w:val="nil"/>
              <w:left w:val="nil"/>
              <w:bottom w:val="nil"/>
              <w:right w:val="single" w:sz="4" w:space="0" w:color="auto"/>
            </w:tcBorders>
            <w:shd w:val="clear" w:color="auto" w:fill="auto"/>
            <w:hideMark/>
          </w:tcPr>
          <w:p w14:paraId="2F5F9A46"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9,66</w:t>
            </w:r>
          </w:p>
        </w:tc>
        <w:tc>
          <w:tcPr>
            <w:tcW w:w="1120" w:type="dxa"/>
            <w:tcBorders>
              <w:top w:val="nil"/>
              <w:left w:val="nil"/>
              <w:bottom w:val="nil"/>
              <w:right w:val="single" w:sz="4" w:space="0" w:color="auto"/>
            </w:tcBorders>
            <w:shd w:val="clear" w:color="auto" w:fill="auto"/>
            <w:hideMark/>
          </w:tcPr>
          <w:p w14:paraId="01AE32CB"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14,15</w:t>
            </w:r>
          </w:p>
        </w:tc>
        <w:tc>
          <w:tcPr>
            <w:tcW w:w="2380" w:type="dxa"/>
            <w:tcBorders>
              <w:top w:val="nil"/>
              <w:left w:val="nil"/>
              <w:bottom w:val="nil"/>
              <w:right w:val="single" w:sz="4" w:space="0" w:color="auto"/>
            </w:tcBorders>
            <w:shd w:val="clear" w:color="auto" w:fill="auto"/>
            <w:hideMark/>
          </w:tcPr>
          <w:p w14:paraId="12DF548A"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4,3</w:t>
            </w:r>
          </w:p>
        </w:tc>
        <w:tc>
          <w:tcPr>
            <w:tcW w:w="2100" w:type="dxa"/>
            <w:tcBorders>
              <w:top w:val="nil"/>
              <w:left w:val="nil"/>
              <w:bottom w:val="nil"/>
              <w:right w:val="single" w:sz="4" w:space="0" w:color="auto"/>
            </w:tcBorders>
            <w:shd w:val="clear" w:color="auto" w:fill="auto"/>
            <w:noWrap/>
            <w:vAlign w:val="bottom"/>
            <w:hideMark/>
          </w:tcPr>
          <w:p w14:paraId="1CBAEDDB"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+ 46</w:t>
            </w:r>
          </w:p>
        </w:tc>
      </w:tr>
      <w:tr w:rsidR="00AE1292" w:rsidRPr="00AE1292" w14:paraId="06BEE451" w14:textId="77777777" w:rsidTr="00AE1292">
        <w:trPr>
          <w:trHeight w:val="312"/>
        </w:trPr>
        <w:tc>
          <w:tcPr>
            <w:tcW w:w="1560" w:type="dxa"/>
            <w:tcBorders>
              <w:top w:val="nil"/>
              <w:left w:val="single" w:sz="4" w:space="0" w:color="auto"/>
              <w:bottom w:val="nil"/>
              <w:right w:val="single" w:sz="4" w:space="0" w:color="auto"/>
            </w:tcBorders>
            <w:shd w:val="clear" w:color="auto" w:fill="auto"/>
            <w:vAlign w:val="center"/>
            <w:hideMark/>
          </w:tcPr>
          <w:p w14:paraId="212EF8A1" w14:textId="77777777" w:rsidR="00AE1292" w:rsidRPr="00AE1292" w:rsidRDefault="00AE1292" w:rsidP="00AE1292">
            <w:pPr>
              <w:spacing w:after="0" w:line="240" w:lineRule="auto"/>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Hamburg</w:t>
            </w:r>
          </w:p>
        </w:tc>
        <w:tc>
          <w:tcPr>
            <w:tcW w:w="840" w:type="dxa"/>
            <w:tcBorders>
              <w:top w:val="nil"/>
              <w:left w:val="nil"/>
              <w:bottom w:val="nil"/>
              <w:right w:val="single" w:sz="4" w:space="0" w:color="auto"/>
            </w:tcBorders>
            <w:shd w:val="clear" w:color="auto" w:fill="auto"/>
            <w:vAlign w:val="center"/>
            <w:hideMark/>
          </w:tcPr>
          <w:p w14:paraId="22050A63"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10,03</w:t>
            </w:r>
          </w:p>
        </w:tc>
        <w:tc>
          <w:tcPr>
            <w:tcW w:w="1120" w:type="dxa"/>
            <w:tcBorders>
              <w:top w:val="nil"/>
              <w:left w:val="nil"/>
              <w:bottom w:val="nil"/>
              <w:right w:val="single" w:sz="4" w:space="0" w:color="auto"/>
            </w:tcBorders>
            <w:shd w:val="clear" w:color="auto" w:fill="auto"/>
            <w:vAlign w:val="center"/>
            <w:hideMark/>
          </w:tcPr>
          <w:p w14:paraId="366C3FE6"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14,64</w:t>
            </w:r>
          </w:p>
        </w:tc>
        <w:tc>
          <w:tcPr>
            <w:tcW w:w="2380" w:type="dxa"/>
            <w:tcBorders>
              <w:top w:val="nil"/>
              <w:left w:val="nil"/>
              <w:bottom w:val="nil"/>
              <w:right w:val="single" w:sz="4" w:space="0" w:color="auto"/>
            </w:tcBorders>
            <w:shd w:val="clear" w:color="auto" w:fill="auto"/>
            <w:vAlign w:val="center"/>
            <w:hideMark/>
          </w:tcPr>
          <w:p w14:paraId="71DC1C6A"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4,3</w:t>
            </w:r>
          </w:p>
        </w:tc>
        <w:tc>
          <w:tcPr>
            <w:tcW w:w="2100" w:type="dxa"/>
            <w:tcBorders>
              <w:top w:val="nil"/>
              <w:left w:val="nil"/>
              <w:bottom w:val="nil"/>
              <w:right w:val="single" w:sz="4" w:space="0" w:color="auto"/>
            </w:tcBorders>
            <w:shd w:val="clear" w:color="auto" w:fill="auto"/>
            <w:noWrap/>
            <w:vAlign w:val="bottom"/>
            <w:hideMark/>
          </w:tcPr>
          <w:p w14:paraId="243B01C0"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+ 46</w:t>
            </w:r>
          </w:p>
        </w:tc>
      </w:tr>
      <w:tr w:rsidR="00AE1292" w:rsidRPr="00AE1292" w14:paraId="49E430F3" w14:textId="77777777" w:rsidTr="00AE1292">
        <w:trPr>
          <w:trHeight w:val="312"/>
        </w:trPr>
        <w:tc>
          <w:tcPr>
            <w:tcW w:w="1560" w:type="dxa"/>
            <w:tcBorders>
              <w:top w:val="nil"/>
              <w:left w:val="single" w:sz="4" w:space="0" w:color="auto"/>
              <w:bottom w:val="nil"/>
              <w:right w:val="single" w:sz="4" w:space="0" w:color="auto"/>
            </w:tcBorders>
            <w:shd w:val="clear" w:color="auto" w:fill="auto"/>
            <w:hideMark/>
          </w:tcPr>
          <w:p w14:paraId="6449A86D" w14:textId="77777777" w:rsidR="00AE1292" w:rsidRPr="00AE1292" w:rsidRDefault="00AE1292" w:rsidP="00AE1292">
            <w:pPr>
              <w:spacing w:after="0" w:line="240" w:lineRule="auto"/>
              <w:rPr>
                <w:rFonts w:ascii="Tahoma" w:eastAsia="Times New Roman" w:hAnsi="Tahoma" w:cs="Tahoma"/>
                <w:sz w:val="19"/>
                <w:szCs w:val="19"/>
                <w:lang w:eastAsia="de-DE"/>
              </w:rPr>
            </w:pPr>
            <w:r w:rsidRPr="00AE1292">
              <w:rPr>
                <w:rFonts w:ascii="Tahoma" w:eastAsia="Times New Roman" w:hAnsi="Tahoma" w:cs="Tahoma"/>
                <w:sz w:val="19"/>
                <w:szCs w:val="19"/>
                <w:lang w:eastAsia="de-DE"/>
              </w:rPr>
              <w:t>Düsseldorf</w:t>
            </w:r>
          </w:p>
        </w:tc>
        <w:tc>
          <w:tcPr>
            <w:tcW w:w="840" w:type="dxa"/>
            <w:tcBorders>
              <w:top w:val="nil"/>
              <w:left w:val="nil"/>
              <w:bottom w:val="nil"/>
              <w:right w:val="single" w:sz="4" w:space="0" w:color="auto"/>
            </w:tcBorders>
            <w:shd w:val="clear" w:color="auto" w:fill="auto"/>
            <w:hideMark/>
          </w:tcPr>
          <w:p w14:paraId="78CF55DB"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9,05</w:t>
            </w:r>
          </w:p>
        </w:tc>
        <w:tc>
          <w:tcPr>
            <w:tcW w:w="1120" w:type="dxa"/>
            <w:tcBorders>
              <w:top w:val="nil"/>
              <w:left w:val="nil"/>
              <w:bottom w:val="nil"/>
              <w:right w:val="single" w:sz="4" w:space="0" w:color="auto"/>
            </w:tcBorders>
            <w:shd w:val="clear" w:color="auto" w:fill="auto"/>
            <w:hideMark/>
          </w:tcPr>
          <w:p w14:paraId="451DA0DA"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12,99</w:t>
            </w:r>
          </w:p>
        </w:tc>
        <w:tc>
          <w:tcPr>
            <w:tcW w:w="2380" w:type="dxa"/>
            <w:tcBorders>
              <w:top w:val="nil"/>
              <w:left w:val="nil"/>
              <w:bottom w:val="nil"/>
              <w:right w:val="single" w:sz="4" w:space="0" w:color="auto"/>
            </w:tcBorders>
            <w:shd w:val="clear" w:color="auto" w:fill="auto"/>
            <w:hideMark/>
          </w:tcPr>
          <w:p w14:paraId="1CB0B36C"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4,1</w:t>
            </w:r>
          </w:p>
        </w:tc>
        <w:tc>
          <w:tcPr>
            <w:tcW w:w="2100" w:type="dxa"/>
            <w:tcBorders>
              <w:top w:val="nil"/>
              <w:left w:val="nil"/>
              <w:bottom w:val="nil"/>
              <w:right w:val="single" w:sz="4" w:space="0" w:color="auto"/>
            </w:tcBorders>
            <w:shd w:val="clear" w:color="auto" w:fill="auto"/>
            <w:vAlign w:val="bottom"/>
            <w:hideMark/>
          </w:tcPr>
          <w:p w14:paraId="41E0031C"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+ 44</w:t>
            </w:r>
          </w:p>
        </w:tc>
      </w:tr>
      <w:tr w:rsidR="00AE1292" w:rsidRPr="00AE1292" w14:paraId="412F8045" w14:textId="77777777" w:rsidTr="00AE1292">
        <w:trPr>
          <w:trHeight w:val="315"/>
        </w:trPr>
        <w:tc>
          <w:tcPr>
            <w:tcW w:w="1560" w:type="dxa"/>
            <w:tcBorders>
              <w:top w:val="nil"/>
              <w:left w:val="single" w:sz="4" w:space="0" w:color="auto"/>
              <w:bottom w:val="nil"/>
              <w:right w:val="single" w:sz="4" w:space="0" w:color="auto"/>
            </w:tcBorders>
            <w:shd w:val="clear" w:color="auto" w:fill="auto"/>
            <w:vAlign w:val="center"/>
            <w:hideMark/>
          </w:tcPr>
          <w:p w14:paraId="5236A3B5" w14:textId="77777777" w:rsidR="00AE1292" w:rsidRPr="00AE1292" w:rsidRDefault="00AE1292" w:rsidP="00AE1292">
            <w:pPr>
              <w:spacing w:after="0" w:line="240" w:lineRule="auto"/>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Essen</w:t>
            </w:r>
          </w:p>
        </w:tc>
        <w:tc>
          <w:tcPr>
            <w:tcW w:w="840" w:type="dxa"/>
            <w:tcBorders>
              <w:top w:val="nil"/>
              <w:left w:val="nil"/>
              <w:bottom w:val="nil"/>
              <w:right w:val="single" w:sz="4" w:space="0" w:color="auto"/>
            </w:tcBorders>
            <w:shd w:val="clear" w:color="auto" w:fill="auto"/>
            <w:vAlign w:val="center"/>
            <w:hideMark/>
          </w:tcPr>
          <w:p w14:paraId="153330E5"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6,06</w:t>
            </w:r>
          </w:p>
        </w:tc>
        <w:tc>
          <w:tcPr>
            <w:tcW w:w="1120" w:type="dxa"/>
            <w:tcBorders>
              <w:top w:val="nil"/>
              <w:left w:val="nil"/>
              <w:bottom w:val="nil"/>
              <w:right w:val="single" w:sz="4" w:space="0" w:color="auto"/>
            </w:tcBorders>
            <w:shd w:val="clear" w:color="auto" w:fill="auto"/>
            <w:vAlign w:val="center"/>
            <w:hideMark/>
          </w:tcPr>
          <w:p w14:paraId="67E7885F"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8,67</w:t>
            </w:r>
          </w:p>
        </w:tc>
        <w:tc>
          <w:tcPr>
            <w:tcW w:w="2380" w:type="dxa"/>
            <w:tcBorders>
              <w:top w:val="nil"/>
              <w:left w:val="nil"/>
              <w:bottom w:val="nil"/>
              <w:right w:val="single" w:sz="4" w:space="0" w:color="auto"/>
            </w:tcBorders>
            <w:shd w:val="clear" w:color="auto" w:fill="auto"/>
            <w:vAlign w:val="center"/>
            <w:hideMark/>
          </w:tcPr>
          <w:p w14:paraId="386793C8"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4,1</w:t>
            </w:r>
          </w:p>
        </w:tc>
        <w:tc>
          <w:tcPr>
            <w:tcW w:w="2100" w:type="dxa"/>
            <w:tcBorders>
              <w:top w:val="nil"/>
              <w:left w:val="nil"/>
              <w:bottom w:val="nil"/>
              <w:right w:val="single" w:sz="4" w:space="0" w:color="auto"/>
            </w:tcBorders>
            <w:shd w:val="clear" w:color="auto" w:fill="auto"/>
            <w:noWrap/>
            <w:vAlign w:val="bottom"/>
            <w:hideMark/>
          </w:tcPr>
          <w:p w14:paraId="789D2F60"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+ 43</w:t>
            </w:r>
          </w:p>
        </w:tc>
      </w:tr>
      <w:tr w:rsidR="00AE1292" w:rsidRPr="00AE1292" w14:paraId="0D36281D" w14:textId="77777777" w:rsidTr="00AE1292">
        <w:trPr>
          <w:trHeight w:val="324"/>
        </w:trPr>
        <w:tc>
          <w:tcPr>
            <w:tcW w:w="1560" w:type="dxa"/>
            <w:tcBorders>
              <w:top w:val="nil"/>
              <w:left w:val="single" w:sz="4" w:space="0" w:color="auto"/>
              <w:bottom w:val="nil"/>
              <w:right w:val="single" w:sz="4" w:space="0" w:color="auto"/>
            </w:tcBorders>
            <w:shd w:val="clear" w:color="auto" w:fill="auto"/>
            <w:vAlign w:val="center"/>
            <w:hideMark/>
          </w:tcPr>
          <w:p w14:paraId="56589D6C" w14:textId="77777777" w:rsidR="00AE1292" w:rsidRPr="00AE1292" w:rsidRDefault="00AE1292" w:rsidP="00AE1292">
            <w:pPr>
              <w:spacing w:after="0" w:line="240" w:lineRule="auto"/>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Frankfurt a. M.</w:t>
            </w:r>
          </w:p>
        </w:tc>
        <w:tc>
          <w:tcPr>
            <w:tcW w:w="840" w:type="dxa"/>
            <w:tcBorders>
              <w:top w:val="nil"/>
              <w:left w:val="nil"/>
              <w:bottom w:val="nil"/>
              <w:right w:val="single" w:sz="4" w:space="0" w:color="auto"/>
            </w:tcBorders>
            <w:shd w:val="clear" w:color="auto" w:fill="auto"/>
            <w:vAlign w:val="center"/>
            <w:hideMark/>
          </w:tcPr>
          <w:p w14:paraId="209C2794"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11,42</w:t>
            </w:r>
          </w:p>
        </w:tc>
        <w:tc>
          <w:tcPr>
            <w:tcW w:w="1120" w:type="dxa"/>
            <w:tcBorders>
              <w:top w:val="nil"/>
              <w:left w:val="nil"/>
              <w:bottom w:val="nil"/>
              <w:right w:val="single" w:sz="4" w:space="0" w:color="auto"/>
            </w:tcBorders>
            <w:shd w:val="clear" w:color="auto" w:fill="auto"/>
            <w:vAlign w:val="center"/>
            <w:hideMark/>
          </w:tcPr>
          <w:p w14:paraId="21A72F76"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16,19</w:t>
            </w:r>
          </w:p>
        </w:tc>
        <w:tc>
          <w:tcPr>
            <w:tcW w:w="2380" w:type="dxa"/>
            <w:tcBorders>
              <w:top w:val="nil"/>
              <w:left w:val="nil"/>
              <w:bottom w:val="nil"/>
              <w:right w:val="single" w:sz="4" w:space="0" w:color="auto"/>
            </w:tcBorders>
            <w:shd w:val="clear" w:color="auto" w:fill="auto"/>
            <w:vAlign w:val="center"/>
            <w:hideMark/>
          </w:tcPr>
          <w:p w14:paraId="25D47B6A"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4,0</w:t>
            </w:r>
          </w:p>
        </w:tc>
        <w:tc>
          <w:tcPr>
            <w:tcW w:w="2100" w:type="dxa"/>
            <w:tcBorders>
              <w:top w:val="nil"/>
              <w:left w:val="nil"/>
              <w:bottom w:val="nil"/>
              <w:right w:val="single" w:sz="4" w:space="0" w:color="auto"/>
            </w:tcBorders>
            <w:shd w:val="clear" w:color="auto" w:fill="auto"/>
            <w:noWrap/>
            <w:vAlign w:val="bottom"/>
            <w:hideMark/>
          </w:tcPr>
          <w:p w14:paraId="638F582A"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+ 42</w:t>
            </w:r>
          </w:p>
        </w:tc>
      </w:tr>
      <w:tr w:rsidR="00AE1292" w:rsidRPr="00AE1292" w14:paraId="24AD4623" w14:textId="77777777" w:rsidTr="00AE1292">
        <w:trPr>
          <w:trHeight w:val="300"/>
        </w:trPr>
        <w:tc>
          <w:tcPr>
            <w:tcW w:w="1560" w:type="dxa"/>
            <w:tcBorders>
              <w:top w:val="nil"/>
              <w:left w:val="single" w:sz="4" w:space="0" w:color="auto"/>
              <w:bottom w:val="nil"/>
              <w:right w:val="single" w:sz="4" w:space="0" w:color="auto"/>
            </w:tcBorders>
            <w:shd w:val="clear" w:color="auto" w:fill="auto"/>
            <w:vAlign w:val="center"/>
            <w:hideMark/>
          </w:tcPr>
          <w:p w14:paraId="71ADA6BE" w14:textId="77777777" w:rsidR="00AE1292" w:rsidRPr="00AE1292" w:rsidRDefault="00AE1292" w:rsidP="00AE1292">
            <w:pPr>
              <w:spacing w:after="0" w:line="240" w:lineRule="auto"/>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Duisburg</w:t>
            </w:r>
          </w:p>
        </w:tc>
        <w:tc>
          <w:tcPr>
            <w:tcW w:w="840" w:type="dxa"/>
            <w:tcBorders>
              <w:top w:val="nil"/>
              <w:left w:val="nil"/>
              <w:bottom w:val="nil"/>
              <w:right w:val="single" w:sz="4" w:space="0" w:color="auto"/>
            </w:tcBorders>
            <w:shd w:val="clear" w:color="auto" w:fill="auto"/>
            <w:vAlign w:val="center"/>
            <w:hideMark/>
          </w:tcPr>
          <w:p w14:paraId="2DE2A86F"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5,44</w:t>
            </w:r>
          </w:p>
        </w:tc>
        <w:tc>
          <w:tcPr>
            <w:tcW w:w="1120" w:type="dxa"/>
            <w:tcBorders>
              <w:top w:val="nil"/>
              <w:left w:val="nil"/>
              <w:bottom w:val="nil"/>
              <w:right w:val="single" w:sz="4" w:space="0" w:color="auto"/>
            </w:tcBorders>
            <w:shd w:val="clear" w:color="auto" w:fill="auto"/>
            <w:vAlign w:val="center"/>
            <w:hideMark/>
          </w:tcPr>
          <w:p w14:paraId="6B6462E5"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7,64</w:t>
            </w:r>
          </w:p>
        </w:tc>
        <w:tc>
          <w:tcPr>
            <w:tcW w:w="2380" w:type="dxa"/>
            <w:tcBorders>
              <w:top w:val="nil"/>
              <w:left w:val="nil"/>
              <w:bottom w:val="nil"/>
              <w:right w:val="single" w:sz="4" w:space="0" w:color="auto"/>
            </w:tcBorders>
            <w:shd w:val="clear" w:color="auto" w:fill="auto"/>
            <w:vAlign w:val="center"/>
            <w:hideMark/>
          </w:tcPr>
          <w:p w14:paraId="0532CA5B"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3,8</w:t>
            </w:r>
          </w:p>
        </w:tc>
        <w:tc>
          <w:tcPr>
            <w:tcW w:w="2100" w:type="dxa"/>
            <w:tcBorders>
              <w:top w:val="nil"/>
              <w:left w:val="nil"/>
              <w:bottom w:val="nil"/>
              <w:right w:val="single" w:sz="4" w:space="0" w:color="auto"/>
            </w:tcBorders>
            <w:shd w:val="clear" w:color="auto" w:fill="auto"/>
            <w:noWrap/>
            <w:vAlign w:val="bottom"/>
            <w:hideMark/>
          </w:tcPr>
          <w:p w14:paraId="0889AC8D"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+ 40</w:t>
            </w:r>
          </w:p>
        </w:tc>
      </w:tr>
      <w:tr w:rsidR="00AE1292" w:rsidRPr="00AE1292" w14:paraId="58E283F2" w14:textId="77777777" w:rsidTr="00AE1292">
        <w:trPr>
          <w:trHeight w:val="315"/>
        </w:trPr>
        <w:tc>
          <w:tcPr>
            <w:tcW w:w="1560" w:type="dxa"/>
            <w:tcBorders>
              <w:top w:val="nil"/>
              <w:left w:val="single" w:sz="4" w:space="0" w:color="auto"/>
              <w:bottom w:val="nil"/>
              <w:right w:val="single" w:sz="4" w:space="0" w:color="auto"/>
            </w:tcBorders>
            <w:shd w:val="clear" w:color="auto" w:fill="auto"/>
            <w:vAlign w:val="center"/>
            <w:hideMark/>
          </w:tcPr>
          <w:p w14:paraId="266866F0" w14:textId="77777777" w:rsidR="00AE1292" w:rsidRPr="00AE1292" w:rsidRDefault="00AE1292" w:rsidP="00AE1292">
            <w:pPr>
              <w:spacing w:after="0" w:line="240" w:lineRule="auto"/>
              <w:rPr>
                <w:rFonts w:ascii="Tahoma" w:eastAsia="Times New Roman" w:hAnsi="Tahoma" w:cs="Tahoma"/>
                <w:sz w:val="19"/>
                <w:szCs w:val="19"/>
                <w:lang w:eastAsia="de-DE"/>
              </w:rPr>
            </w:pPr>
            <w:r w:rsidRPr="00AE1292">
              <w:rPr>
                <w:rFonts w:ascii="Tahoma" w:eastAsia="Times New Roman" w:hAnsi="Tahoma" w:cs="Tahoma"/>
                <w:sz w:val="19"/>
                <w:szCs w:val="19"/>
                <w:lang w:eastAsia="de-DE"/>
              </w:rPr>
              <w:t>Stuttgart</w:t>
            </w:r>
          </w:p>
        </w:tc>
        <w:tc>
          <w:tcPr>
            <w:tcW w:w="840" w:type="dxa"/>
            <w:tcBorders>
              <w:top w:val="nil"/>
              <w:left w:val="nil"/>
              <w:bottom w:val="nil"/>
              <w:right w:val="single" w:sz="4" w:space="0" w:color="auto"/>
            </w:tcBorders>
            <w:shd w:val="clear" w:color="auto" w:fill="auto"/>
            <w:vAlign w:val="center"/>
            <w:hideMark/>
          </w:tcPr>
          <w:p w14:paraId="0E41BDD6"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11,06</w:t>
            </w:r>
          </w:p>
        </w:tc>
        <w:tc>
          <w:tcPr>
            <w:tcW w:w="1120" w:type="dxa"/>
            <w:tcBorders>
              <w:top w:val="nil"/>
              <w:left w:val="nil"/>
              <w:bottom w:val="nil"/>
              <w:right w:val="single" w:sz="4" w:space="0" w:color="auto"/>
            </w:tcBorders>
            <w:shd w:val="clear" w:color="auto" w:fill="auto"/>
            <w:vAlign w:val="center"/>
            <w:hideMark/>
          </w:tcPr>
          <w:p w14:paraId="0B1C7A82"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15,40</w:t>
            </w:r>
          </w:p>
        </w:tc>
        <w:tc>
          <w:tcPr>
            <w:tcW w:w="2380" w:type="dxa"/>
            <w:tcBorders>
              <w:top w:val="nil"/>
              <w:left w:val="nil"/>
              <w:bottom w:val="nil"/>
              <w:right w:val="single" w:sz="4" w:space="0" w:color="auto"/>
            </w:tcBorders>
            <w:shd w:val="clear" w:color="auto" w:fill="auto"/>
            <w:vAlign w:val="center"/>
            <w:hideMark/>
          </w:tcPr>
          <w:p w14:paraId="5E9496CE"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3,7</w:t>
            </w:r>
          </w:p>
        </w:tc>
        <w:tc>
          <w:tcPr>
            <w:tcW w:w="2100" w:type="dxa"/>
            <w:tcBorders>
              <w:top w:val="nil"/>
              <w:left w:val="nil"/>
              <w:bottom w:val="nil"/>
              <w:right w:val="single" w:sz="4" w:space="0" w:color="auto"/>
            </w:tcBorders>
            <w:shd w:val="clear" w:color="auto" w:fill="auto"/>
            <w:noWrap/>
            <w:vAlign w:val="bottom"/>
            <w:hideMark/>
          </w:tcPr>
          <w:p w14:paraId="056A44EA"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+ 39</w:t>
            </w:r>
          </w:p>
        </w:tc>
      </w:tr>
      <w:tr w:rsidR="00AE1292" w:rsidRPr="00AE1292" w14:paraId="53A863FC" w14:textId="77777777" w:rsidTr="00AE1292">
        <w:trPr>
          <w:trHeight w:val="315"/>
        </w:trPr>
        <w:tc>
          <w:tcPr>
            <w:tcW w:w="1560" w:type="dxa"/>
            <w:tcBorders>
              <w:top w:val="nil"/>
              <w:left w:val="single" w:sz="4" w:space="0" w:color="auto"/>
              <w:bottom w:val="nil"/>
              <w:right w:val="single" w:sz="4" w:space="0" w:color="auto"/>
            </w:tcBorders>
            <w:shd w:val="clear" w:color="auto" w:fill="auto"/>
            <w:vAlign w:val="center"/>
            <w:hideMark/>
          </w:tcPr>
          <w:p w14:paraId="04ECCAF0" w14:textId="77777777" w:rsidR="00AE1292" w:rsidRPr="00AE1292" w:rsidRDefault="00AE1292" w:rsidP="00AE1292">
            <w:pPr>
              <w:spacing w:after="0" w:line="240" w:lineRule="auto"/>
              <w:rPr>
                <w:rFonts w:ascii="Tahoma" w:eastAsia="Times New Roman" w:hAnsi="Tahoma" w:cs="Tahoma"/>
                <w:sz w:val="19"/>
                <w:szCs w:val="19"/>
                <w:lang w:eastAsia="de-DE"/>
              </w:rPr>
            </w:pPr>
            <w:r w:rsidRPr="00AE1292">
              <w:rPr>
                <w:rFonts w:ascii="Tahoma" w:eastAsia="Times New Roman" w:hAnsi="Tahoma" w:cs="Tahoma"/>
                <w:sz w:val="19"/>
                <w:szCs w:val="19"/>
                <w:lang w:eastAsia="de-DE"/>
              </w:rPr>
              <w:t>Nürnberg</w:t>
            </w:r>
          </w:p>
        </w:tc>
        <w:tc>
          <w:tcPr>
            <w:tcW w:w="840" w:type="dxa"/>
            <w:tcBorders>
              <w:top w:val="nil"/>
              <w:left w:val="nil"/>
              <w:bottom w:val="nil"/>
              <w:right w:val="single" w:sz="4" w:space="0" w:color="auto"/>
            </w:tcBorders>
            <w:shd w:val="clear" w:color="auto" w:fill="auto"/>
            <w:vAlign w:val="center"/>
            <w:hideMark/>
          </w:tcPr>
          <w:p w14:paraId="0B31FB82"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8,37</w:t>
            </w:r>
          </w:p>
        </w:tc>
        <w:tc>
          <w:tcPr>
            <w:tcW w:w="1120" w:type="dxa"/>
            <w:tcBorders>
              <w:top w:val="nil"/>
              <w:left w:val="nil"/>
              <w:bottom w:val="nil"/>
              <w:right w:val="single" w:sz="4" w:space="0" w:color="auto"/>
            </w:tcBorders>
            <w:shd w:val="clear" w:color="auto" w:fill="auto"/>
            <w:vAlign w:val="center"/>
            <w:hideMark/>
          </w:tcPr>
          <w:p w14:paraId="178A650C"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11,60</w:t>
            </w:r>
          </w:p>
        </w:tc>
        <w:tc>
          <w:tcPr>
            <w:tcW w:w="2380" w:type="dxa"/>
            <w:tcBorders>
              <w:top w:val="nil"/>
              <w:left w:val="nil"/>
              <w:bottom w:val="nil"/>
              <w:right w:val="single" w:sz="4" w:space="0" w:color="auto"/>
            </w:tcBorders>
            <w:shd w:val="clear" w:color="auto" w:fill="auto"/>
            <w:vAlign w:val="center"/>
            <w:hideMark/>
          </w:tcPr>
          <w:p w14:paraId="33534764"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3,7</w:t>
            </w:r>
          </w:p>
        </w:tc>
        <w:tc>
          <w:tcPr>
            <w:tcW w:w="2100" w:type="dxa"/>
            <w:tcBorders>
              <w:top w:val="nil"/>
              <w:left w:val="nil"/>
              <w:bottom w:val="nil"/>
              <w:right w:val="single" w:sz="4" w:space="0" w:color="auto"/>
            </w:tcBorders>
            <w:shd w:val="clear" w:color="auto" w:fill="auto"/>
            <w:noWrap/>
            <w:vAlign w:val="bottom"/>
            <w:hideMark/>
          </w:tcPr>
          <w:p w14:paraId="1CE68C7D"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+ 39</w:t>
            </w:r>
          </w:p>
        </w:tc>
      </w:tr>
      <w:tr w:rsidR="00AE1292" w:rsidRPr="00AE1292" w14:paraId="70313C27" w14:textId="77777777" w:rsidTr="00AE1292">
        <w:trPr>
          <w:trHeight w:val="312"/>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E10ACCF" w14:textId="77777777" w:rsidR="00AE1292" w:rsidRPr="00AE1292" w:rsidRDefault="00AE1292" w:rsidP="00AE1292">
            <w:pPr>
              <w:spacing w:after="0" w:line="240" w:lineRule="auto"/>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Dresden</w:t>
            </w:r>
          </w:p>
        </w:tc>
        <w:tc>
          <w:tcPr>
            <w:tcW w:w="840" w:type="dxa"/>
            <w:tcBorders>
              <w:top w:val="nil"/>
              <w:left w:val="nil"/>
              <w:bottom w:val="single" w:sz="4" w:space="0" w:color="auto"/>
              <w:right w:val="single" w:sz="4" w:space="0" w:color="auto"/>
            </w:tcBorders>
            <w:shd w:val="clear" w:color="auto" w:fill="auto"/>
            <w:vAlign w:val="center"/>
            <w:hideMark/>
          </w:tcPr>
          <w:p w14:paraId="60C2817A"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6,76</w:t>
            </w:r>
          </w:p>
        </w:tc>
        <w:tc>
          <w:tcPr>
            <w:tcW w:w="1120" w:type="dxa"/>
            <w:tcBorders>
              <w:top w:val="nil"/>
              <w:left w:val="nil"/>
              <w:bottom w:val="single" w:sz="4" w:space="0" w:color="auto"/>
              <w:right w:val="single" w:sz="4" w:space="0" w:color="auto"/>
            </w:tcBorders>
            <w:shd w:val="clear" w:color="auto" w:fill="auto"/>
            <w:vAlign w:val="center"/>
            <w:hideMark/>
          </w:tcPr>
          <w:p w14:paraId="20EDFDF6"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8,68</w:t>
            </w:r>
          </w:p>
        </w:tc>
        <w:tc>
          <w:tcPr>
            <w:tcW w:w="2380" w:type="dxa"/>
            <w:tcBorders>
              <w:top w:val="nil"/>
              <w:left w:val="nil"/>
              <w:bottom w:val="single" w:sz="4" w:space="0" w:color="auto"/>
              <w:right w:val="single" w:sz="4" w:space="0" w:color="auto"/>
            </w:tcBorders>
            <w:shd w:val="clear" w:color="auto" w:fill="auto"/>
            <w:vAlign w:val="center"/>
            <w:hideMark/>
          </w:tcPr>
          <w:p w14:paraId="65349BA2"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2,8</w:t>
            </w:r>
          </w:p>
        </w:tc>
        <w:tc>
          <w:tcPr>
            <w:tcW w:w="2100" w:type="dxa"/>
            <w:tcBorders>
              <w:top w:val="nil"/>
              <w:left w:val="nil"/>
              <w:bottom w:val="single" w:sz="4" w:space="0" w:color="auto"/>
              <w:right w:val="single" w:sz="4" w:space="0" w:color="auto"/>
            </w:tcBorders>
            <w:shd w:val="clear" w:color="auto" w:fill="auto"/>
            <w:noWrap/>
            <w:vAlign w:val="bottom"/>
            <w:hideMark/>
          </w:tcPr>
          <w:p w14:paraId="2E438AD1" w14:textId="77777777" w:rsidR="00AE1292" w:rsidRPr="00AE1292" w:rsidRDefault="00AE1292" w:rsidP="00AE1292">
            <w:pPr>
              <w:spacing w:after="0" w:line="240" w:lineRule="auto"/>
              <w:jc w:val="center"/>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+ 28</w:t>
            </w:r>
          </w:p>
        </w:tc>
      </w:tr>
      <w:tr w:rsidR="00AE1292" w:rsidRPr="00AE1292" w14:paraId="2DC8273E" w14:textId="77777777" w:rsidTr="00AE1292">
        <w:trPr>
          <w:trHeight w:val="288"/>
        </w:trPr>
        <w:tc>
          <w:tcPr>
            <w:tcW w:w="1560" w:type="dxa"/>
            <w:tcBorders>
              <w:top w:val="nil"/>
              <w:left w:val="single" w:sz="4" w:space="0" w:color="auto"/>
              <w:bottom w:val="nil"/>
              <w:right w:val="single" w:sz="4" w:space="0" w:color="auto"/>
            </w:tcBorders>
            <w:shd w:val="clear" w:color="auto" w:fill="auto"/>
            <w:vAlign w:val="center"/>
            <w:hideMark/>
          </w:tcPr>
          <w:p w14:paraId="2BDDA845" w14:textId="77777777" w:rsidR="00AE1292" w:rsidRPr="00AE1292" w:rsidRDefault="00AE1292" w:rsidP="00AE1292">
            <w:pPr>
              <w:spacing w:after="0" w:line="240" w:lineRule="auto"/>
              <w:rPr>
                <w:rFonts w:ascii="Tahoma" w:eastAsia="Times New Roman" w:hAnsi="Tahoma" w:cs="Tahoma"/>
                <w:i/>
                <w:iCs/>
                <w:color w:val="000000"/>
                <w:sz w:val="19"/>
                <w:szCs w:val="19"/>
                <w:lang w:eastAsia="de-DE"/>
              </w:rPr>
            </w:pPr>
            <w:r w:rsidRPr="00AE1292">
              <w:rPr>
                <w:rFonts w:ascii="Tahoma" w:eastAsia="Times New Roman" w:hAnsi="Tahoma" w:cs="Tahoma"/>
                <w:i/>
                <w:iCs/>
                <w:color w:val="000000"/>
                <w:sz w:val="19"/>
                <w:szCs w:val="19"/>
                <w:lang w:eastAsia="de-DE"/>
              </w:rPr>
              <w:t>Durchschnitt</w:t>
            </w:r>
          </w:p>
        </w:tc>
        <w:tc>
          <w:tcPr>
            <w:tcW w:w="840" w:type="dxa"/>
            <w:tcBorders>
              <w:top w:val="nil"/>
              <w:left w:val="nil"/>
              <w:bottom w:val="nil"/>
              <w:right w:val="nil"/>
            </w:tcBorders>
            <w:shd w:val="clear" w:color="auto" w:fill="auto"/>
            <w:noWrap/>
            <w:vAlign w:val="bottom"/>
            <w:hideMark/>
          </w:tcPr>
          <w:p w14:paraId="718D1B88" w14:textId="77777777" w:rsidR="00AE1292" w:rsidRPr="00AE1292" w:rsidRDefault="00AE1292" w:rsidP="00AE1292">
            <w:pPr>
              <w:spacing w:after="0" w:line="240" w:lineRule="auto"/>
              <w:jc w:val="center"/>
              <w:rPr>
                <w:rFonts w:ascii="Calibri" w:eastAsia="Times New Roman" w:hAnsi="Calibri" w:cs="Calibri"/>
                <w:i/>
                <w:iCs/>
                <w:color w:val="000000"/>
                <w:lang w:eastAsia="de-DE"/>
              </w:rPr>
            </w:pPr>
            <w:r w:rsidRPr="00AE1292">
              <w:rPr>
                <w:rFonts w:ascii="Calibri" w:eastAsia="Times New Roman" w:hAnsi="Calibri" w:cs="Calibri"/>
                <w:i/>
                <w:iCs/>
                <w:color w:val="000000"/>
                <w:lang w:eastAsia="de-DE"/>
              </w:rPr>
              <w:t>8,56</w:t>
            </w:r>
          </w:p>
        </w:tc>
        <w:tc>
          <w:tcPr>
            <w:tcW w:w="1120" w:type="dxa"/>
            <w:tcBorders>
              <w:top w:val="nil"/>
              <w:left w:val="nil"/>
              <w:bottom w:val="nil"/>
              <w:right w:val="nil"/>
            </w:tcBorders>
            <w:shd w:val="clear" w:color="auto" w:fill="auto"/>
            <w:noWrap/>
            <w:vAlign w:val="bottom"/>
            <w:hideMark/>
          </w:tcPr>
          <w:p w14:paraId="4D6620A6" w14:textId="77777777" w:rsidR="00AE1292" w:rsidRPr="00AE1292" w:rsidRDefault="00AE1292" w:rsidP="00AE1292">
            <w:pPr>
              <w:spacing w:after="0" w:line="240" w:lineRule="auto"/>
              <w:jc w:val="center"/>
              <w:rPr>
                <w:rFonts w:ascii="Calibri" w:eastAsia="Times New Roman" w:hAnsi="Calibri" w:cs="Calibri"/>
                <w:i/>
                <w:iCs/>
                <w:color w:val="000000"/>
                <w:lang w:eastAsia="de-DE"/>
              </w:rPr>
            </w:pPr>
            <w:r w:rsidRPr="00AE1292">
              <w:rPr>
                <w:rFonts w:ascii="Calibri" w:eastAsia="Times New Roman" w:hAnsi="Calibri" w:cs="Calibri"/>
                <w:i/>
                <w:iCs/>
                <w:color w:val="000000"/>
                <w:lang w:eastAsia="de-DE"/>
              </w:rPr>
              <w:t>12,79</w:t>
            </w:r>
          </w:p>
        </w:tc>
        <w:tc>
          <w:tcPr>
            <w:tcW w:w="2380" w:type="dxa"/>
            <w:tcBorders>
              <w:top w:val="nil"/>
              <w:left w:val="nil"/>
              <w:bottom w:val="nil"/>
              <w:right w:val="nil"/>
            </w:tcBorders>
            <w:shd w:val="clear" w:color="auto" w:fill="auto"/>
            <w:noWrap/>
            <w:vAlign w:val="bottom"/>
            <w:hideMark/>
          </w:tcPr>
          <w:p w14:paraId="61FF5E0A" w14:textId="77777777" w:rsidR="00AE1292" w:rsidRPr="00AE1292" w:rsidRDefault="00AE1292" w:rsidP="00AE1292">
            <w:pPr>
              <w:spacing w:after="0" w:line="240" w:lineRule="auto"/>
              <w:jc w:val="center"/>
              <w:rPr>
                <w:rFonts w:ascii="Calibri" w:eastAsia="Times New Roman" w:hAnsi="Calibri" w:cs="Calibri"/>
                <w:i/>
                <w:iCs/>
                <w:color w:val="000000"/>
                <w:lang w:eastAsia="de-DE"/>
              </w:rPr>
            </w:pPr>
          </w:p>
        </w:tc>
        <w:tc>
          <w:tcPr>
            <w:tcW w:w="2100" w:type="dxa"/>
            <w:tcBorders>
              <w:top w:val="nil"/>
              <w:left w:val="nil"/>
              <w:bottom w:val="nil"/>
              <w:right w:val="nil"/>
            </w:tcBorders>
            <w:shd w:val="clear" w:color="auto" w:fill="auto"/>
            <w:noWrap/>
            <w:vAlign w:val="center"/>
            <w:hideMark/>
          </w:tcPr>
          <w:p w14:paraId="1CC78864" w14:textId="77777777" w:rsidR="00AE1292" w:rsidRPr="00AE1292" w:rsidRDefault="00AE1292" w:rsidP="00AE1292">
            <w:pPr>
              <w:spacing w:after="0" w:line="240" w:lineRule="auto"/>
              <w:jc w:val="center"/>
              <w:rPr>
                <w:rFonts w:ascii="Calibri" w:eastAsia="Times New Roman" w:hAnsi="Calibri" w:cs="Calibri"/>
                <w:i/>
                <w:iCs/>
                <w:color w:val="000000"/>
                <w:lang w:eastAsia="de-DE"/>
              </w:rPr>
            </w:pPr>
            <w:r w:rsidRPr="00AE1292">
              <w:rPr>
                <w:rFonts w:ascii="Calibri" w:eastAsia="Times New Roman" w:hAnsi="Calibri" w:cs="Calibri"/>
                <w:i/>
                <w:iCs/>
                <w:color w:val="000000"/>
                <w:lang w:eastAsia="de-DE"/>
              </w:rPr>
              <w:t>+ 50</w:t>
            </w:r>
          </w:p>
        </w:tc>
      </w:tr>
      <w:tr w:rsidR="00AE1292" w:rsidRPr="00AE1292" w14:paraId="4BBF6B20" w14:textId="77777777" w:rsidTr="00AE1292">
        <w:trPr>
          <w:trHeight w:val="312"/>
        </w:trPr>
        <w:tc>
          <w:tcPr>
            <w:tcW w:w="1560" w:type="dxa"/>
            <w:tcBorders>
              <w:top w:val="nil"/>
              <w:left w:val="nil"/>
              <w:bottom w:val="nil"/>
              <w:right w:val="nil"/>
            </w:tcBorders>
            <w:shd w:val="clear" w:color="auto" w:fill="auto"/>
            <w:vAlign w:val="center"/>
            <w:hideMark/>
          </w:tcPr>
          <w:p w14:paraId="729630DD" w14:textId="77777777" w:rsidR="00AE1292" w:rsidRPr="00AE1292" w:rsidRDefault="00AE1292" w:rsidP="00AE1292">
            <w:pPr>
              <w:spacing w:after="0" w:line="240" w:lineRule="auto"/>
              <w:jc w:val="center"/>
              <w:rPr>
                <w:rFonts w:ascii="Calibri" w:eastAsia="Times New Roman" w:hAnsi="Calibri" w:cs="Calibri"/>
                <w:i/>
                <w:iCs/>
                <w:color w:val="000000"/>
                <w:lang w:eastAsia="de-DE"/>
              </w:rPr>
            </w:pPr>
          </w:p>
        </w:tc>
        <w:tc>
          <w:tcPr>
            <w:tcW w:w="840" w:type="dxa"/>
            <w:tcBorders>
              <w:top w:val="nil"/>
              <w:left w:val="nil"/>
              <w:bottom w:val="nil"/>
              <w:right w:val="nil"/>
            </w:tcBorders>
            <w:shd w:val="clear" w:color="auto" w:fill="auto"/>
            <w:vAlign w:val="center"/>
            <w:hideMark/>
          </w:tcPr>
          <w:p w14:paraId="06DD8919" w14:textId="77777777" w:rsidR="00AE1292" w:rsidRPr="00AE1292" w:rsidRDefault="00AE1292" w:rsidP="00AE1292">
            <w:pPr>
              <w:spacing w:after="0" w:line="240" w:lineRule="auto"/>
              <w:rPr>
                <w:rFonts w:ascii="Times New Roman" w:eastAsia="Times New Roman" w:hAnsi="Times New Roman" w:cs="Times New Roman"/>
                <w:sz w:val="20"/>
                <w:szCs w:val="20"/>
                <w:lang w:eastAsia="de-DE"/>
              </w:rPr>
            </w:pPr>
          </w:p>
        </w:tc>
        <w:tc>
          <w:tcPr>
            <w:tcW w:w="1120" w:type="dxa"/>
            <w:tcBorders>
              <w:top w:val="nil"/>
              <w:left w:val="nil"/>
              <w:bottom w:val="nil"/>
              <w:right w:val="nil"/>
            </w:tcBorders>
            <w:shd w:val="clear" w:color="auto" w:fill="auto"/>
            <w:vAlign w:val="center"/>
            <w:hideMark/>
          </w:tcPr>
          <w:p w14:paraId="7BE12C77" w14:textId="77777777" w:rsidR="00AE1292" w:rsidRPr="00AE1292" w:rsidRDefault="00AE1292" w:rsidP="00AE1292">
            <w:pPr>
              <w:spacing w:after="0" w:line="240" w:lineRule="auto"/>
              <w:jc w:val="right"/>
              <w:rPr>
                <w:rFonts w:ascii="Times New Roman" w:eastAsia="Times New Roman" w:hAnsi="Times New Roman" w:cs="Times New Roman"/>
                <w:sz w:val="20"/>
                <w:szCs w:val="20"/>
                <w:lang w:eastAsia="de-DE"/>
              </w:rPr>
            </w:pPr>
          </w:p>
        </w:tc>
        <w:tc>
          <w:tcPr>
            <w:tcW w:w="2380" w:type="dxa"/>
            <w:tcBorders>
              <w:top w:val="nil"/>
              <w:left w:val="nil"/>
              <w:bottom w:val="nil"/>
              <w:right w:val="nil"/>
            </w:tcBorders>
            <w:shd w:val="clear" w:color="auto" w:fill="auto"/>
            <w:vAlign w:val="center"/>
            <w:hideMark/>
          </w:tcPr>
          <w:p w14:paraId="0873CDC4" w14:textId="77777777" w:rsidR="00AE1292" w:rsidRPr="00AE1292" w:rsidRDefault="00AE1292" w:rsidP="00AE1292">
            <w:pPr>
              <w:spacing w:after="0" w:line="240" w:lineRule="auto"/>
              <w:jc w:val="right"/>
              <w:rPr>
                <w:rFonts w:ascii="Times New Roman" w:eastAsia="Times New Roman" w:hAnsi="Times New Roman" w:cs="Times New Roman"/>
                <w:sz w:val="20"/>
                <w:szCs w:val="20"/>
                <w:lang w:eastAsia="de-DE"/>
              </w:rPr>
            </w:pPr>
          </w:p>
        </w:tc>
        <w:tc>
          <w:tcPr>
            <w:tcW w:w="2100" w:type="dxa"/>
            <w:tcBorders>
              <w:top w:val="nil"/>
              <w:left w:val="nil"/>
              <w:bottom w:val="nil"/>
              <w:right w:val="nil"/>
            </w:tcBorders>
            <w:shd w:val="clear" w:color="auto" w:fill="auto"/>
            <w:noWrap/>
            <w:vAlign w:val="bottom"/>
            <w:hideMark/>
          </w:tcPr>
          <w:p w14:paraId="5DA9877B" w14:textId="77777777" w:rsidR="00AE1292" w:rsidRPr="00AE1292" w:rsidRDefault="00AE1292" w:rsidP="00AE1292">
            <w:pPr>
              <w:spacing w:after="0" w:line="240" w:lineRule="auto"/>
              <w:jc w:val="center"/>
              <w:rPr>
                <w:rFonts w:ascii="Times New Roman" w:eastAsia="Times New Roman" w:hAnsi="Times New Roman" w:cs="Times New Roman"/>
                <w:sz w:val="20"/>
                <w:szCs w:val="20"/>
                <w:lang w:eastAsia="de-DE"/>
              </w:rPr>
            </w:pPr>
          </w:p>
        </w:tc>
      </w:tr>
      <w:tr w:rsidR="00AE1292" w:rsidRPr="00AE1292" w14:paraId="2F555AA5" w14:textId="77777777" w:rsidTr="00AE1292">
        <w:trPr>
          <w:trHeight w:val="444"/>
        </w:trPr>
        <w:tc>
          <w:tcPr>
            <w:tcW w:w="8000" w:type="dxa"/>
            <w:gridSpan w:val="5"/>
            <w:tcBorders>
              <w:top w:val="nil"/>
              <w:left w:val="nil"/>
              <w:bottom w:val="nil"/>
              <w:right w:val="nil"/>
            </w:tcBorders>
            <w:shd w:val="clear" w:color="auto" w:fill="auto"/>
            <w:vAlign w:val="center"/>
            <w:hideMark/>
          </w:tcPr>
          <w:p w14:paraId="097D849E" w14:textId="77777777" w:rsidR="00AE1292" w:rsidRPr="00AE1292" w:rsidRDefault="00AE1292" w:rsidP="00AE1292">
            <w:pPr>
              <w:spacing w:after="0" w:line="240" w:lineRule="auto"/>
              <w:rPr>
                <w:rFonts w:ascii="Tahoma" w:eastAsia="Times New Roman" w:hAnsi="Tahoma" w:cs="Tahoma"/>
                <w:color w:val="000000"/>
                <w:sz w:val="18"/>
                <w:szCs w:val="18"/>
                <w:lang w:eastAsia="de-DE"/>
              </w:rPr>
            </w:pPr>
            <w:r w:rsidRPr="00AE1292">
              <w:rPr>
                <w:rFonts w:ascii="Tahoma" w:eastAsia="Times New Roman" w:hAnsi="Tahoma" w:cs="Tahoma"/>
                <w:sz w:val="18"/>
                <w:szCs w:val="18"/>
                <w:lang w:eastAsia="de-DE"/>
              </w:rPr>
              <w:t xml:space="preserve">Datenbasis: BBSR-Wohnungsmarktbeobachtung, IDN </w:t>
            </w:r>
            <w:proofErr w:type="spellStart"/>
            <w:r w:rsidRPr="00AE1292">
              <w:rPr>
                <w:rFonts w:ascii="Tahoma" w:eastAsia="Times New Roman" w:hAnsi="Tahoma" w:cs="Tahoma"/>
                <w:sz w:val="18"/>
                <w:szCs w:val="18"/>
                <w:lang w:eastAsia="de-DE"/>
              </w:rPr>
              <w:t>ImmoDaten</w:t>
            </w:r>
            <w:proofErr w:type="spellEnd"/>
            <w:r w:rsidRPr="00AE1292">
              <w:rPr>
                <w:rFonts w:ascii="Tahoma" w:eastAsia="Times New Roman" w:hAnsi="Tahoma" w:cs="Tahoma"/>
                <w:sz w:val="18"/>
                <w:szCs w:val="18"/>
                <w:lang w:eastAsia="de-DE"/>
              </w:rPr>
              <w:t xml:space="preserve"> GmbH, </w:t>
            </w:r>
            <w:proofErr w:type="spellStart"/>
            <w:r w:rsidRPr="00AE1292">
              <w:rPr>
                <w:rFonts w:ascii="Tahoma" w:eastAsia="Times New Roman" w:hAnsi="Tahoma" w:cs="Tahoma"/>
                <w:sz w:val="18"/>
                <w:szCs w:val="18"/>
                <w:lang w:eastAsia="de-DE"/>
              </w:rPr>
              <w:t>microm</w:t>
            </w:r>
            <w:proofErr w:type="spellEnd"/>
            <w:r w:rsidRPr="00AE1292">
              <w:rPr>
                <w:rFonts w:ascii="Tahoma" w:eastAsia="Times New Roman" w:hAnsi="Tahoma" w:cs="Tahoma"/>
                <w:color w:val="000000"/>
                <w:sz w:val="18"/>
                <w:szCs w:val="18"/>
                <w:lang w:eastAsia="de-DE"/>
              </w:rPr>
              <w:t xml:space="preserve"> Wohnlagen</w:t>
            </w:r>
          </w:p>
        </w:tc>
      </w:tr>
      <w:tr w:rsidR="00AE1292" w:rsidRPr="00AE1292" w14:paraId="5DCB6A54" w14:textId="77777777" w:rsidTr="00AE1292">
        <w:trPr>
          <w:trHeight w:val="1065"/>
        </w:trPr>
        <w:tc>
          <w:tcPr>
            <w:tcW w:w="8000" w:type="dxa"/>
            <w:gridSpan w:val="5"/>
            <w:tcBorders>
              <w:top w:val="nil"/>
              <w:left w:val="nil"/>
              <w:bottom w:val="nil"/>
              <w:right w:val="nil"/>
            </w:tcBorders>
            <w:shd w:val="clear" w:color="auto" w:fill="auto"/>
            <w:vAlign w:val="center"/>
            <w:hideMark/>
          </w:tcPr>
          <w:p w14:paraId="78833D16" w14:textId="77777777" w:rsidR="00AE1292" w:rsidRPr="00AE1292" w:rsidRDefault="00AE1292" w:rsidP="00AE1292">
            <w:pPr>
              <w:spacing w:after="0" w:line="240" w:lineRule="auto"/>
              <w:rPr>
                <w:rFonts w:ascii="Tahoma" w:eastAsia="Times New Roman" w:hAnsi="Tahoma" w:cs="Tahoma"/>
                <w:color w:val="000000"/>
                <w:sz w:val="18"/>
                <w:szCs w:val="18"/>
                <w:lang w:eastAsia="de-DE"/>
              </w:rPr>
            </w:pPr>
            <w:r w:rsidRPr="00AE1292">
              <w:rPr>
                <w:rFonts w:ascii="Tahoma" w:eastAsia="Times New Roman" w:hAnsi="Tahoma" w:cs="Tahoma"/>
                <w:sz w:val="18"/>
                <w:szCs w:val="18"/>
                <w:lang w:eastAsia="de-DE"/>
              </w:rPr>
              <w:t>Anmerkungen: Erst- und Wiedervermietungsmieten ohne Nebenkosten für unmöblierte Wohnungen mit 40 bis</w:t>
            </w:r>
            <w:r w:rsidRPr="00AE1292">
              <w:rPr>
                <w:rFonts w:ascii="Tahoma" w:eastAsia="Times New Roman" w:hAnsi="Tahoma" w:cs="Tahoma"/>
                <w:color w:val="000000"/>
                <w:sz w:val="18"/>
                <w:szCs w:val="18"/>
                <w:lang w:eastAsia="de-DE"/>
              </w:rPr>
              <w:t xml:space="preserve"> 100 m2 Wohnfläche, mittlere Wohnungsausstattung, mittlere bis gute Wohnlage, basierend auf im Internet veröffentlichten Wohnungsinseraten von Immobilienplattformen und Zeitungen</w:t>
            </w:r>
          </w:p>
        </w:tc>
      </w:tr>
      <w:tr w:rsidR="00AE1292" w:rsidRPr="00AE1292" w14:paraId="0D3EFBF6" w14:textId="77777777" w:rsidTr="00AE1292">
        <w:trPr>
          <w:trHeight w:val="450"/>
        </w:trPr>
        <w:tc>
          <w:tcPr>
            <w:tcW w:w="5900" w:type="dxa"/>
            <w:gridSpan w:val="4"/>
            <w:tcBorders>
              <w:top w:val="nil"/>
              <w:left w:val="nil"/>
              <w:bottom w:val="nil"/>
              <w:right w:val="nil"/>
            </w:tcBorders>
            <w:shd w:val="clear" w:color="auto" w:fill="auto"/>
            <w:vAlign w:val="bottom"/>
            <w:hideMark/>
          </w:tcPr>
          <w:p w14:paraId="5FBB03BD" w14:textId="77777777" w:rsidR="00AE1292" w:rsidRPr="00AE1292" w:rsidRDefault="00AE1292" w:rsidP="00AE1292">
            <w:pPr>
              <w:spacing w:after="0" w:line="240" w:lineRule="auto"/>
              <w:rPr>
                <w:rFonts w:ascii="Tahoma" w:eastAsia="Times New Roman" w:hAnsi="Tahoma" w:cs="Tahoma"/>
                <w:color w:val="000000"/>
                <w:sz w:val="19"/>
                <w:szCs w:val="19"/>
                <w:lang w:eastAsia="de-DE"/>
              </w:rPr>
            </w:pPr>
            <w:r w:rsidRPr="00AE1292">
              <w:rPr>
                <w:rFonts w:ascii="Tahoma" w:eastAsia="Times New Roman" w:hAnsi="Tahoma" w:cs="Tahoma"/>
                <w:color w:val="000000"/>
                <w:sz w:val="19"/>
                <w:szCs w:val="19"/>
                <w:lang w:eastAsia="de-DE"/>
              </w:rPr>
              <w:t>*: Eigene Berechnung</w:t>
            </w:r>
          </w:p>
        </w:tc>
        <w:tc>
          <w:tcPr>
            <w:tcW w:w="2100" w:type="dxa"/>
            <w:tcBorders>
              <w:top w:val="nil"/>
              <w:left w:val="nil"/>
              <w:bottom w:val="nil"/>
              <w:right w:val="nil"/>
            </w:tcBorders>
            <w:shd w:val="clear" w:color="auto" w:fill="auto"/>
            <w:noWrap/>
            <w:vAlign w:val="bottom"/>
            <w:hideMark/>
          </w:tcPr>
          <w:p w14:paraId="248B40BB" w14:textId="77777777" w:rsidR="00AE1292" w:rsidRPr="00AE1292" w:rsidRDefault="00AE1292" w:rsidP="00AE1292">
            <w:pPr>
              <w:spacing w:after="0" w:line="240" w:lineRule="auto"/>
              <w:rPr>
                <w:rFonts w:ascii="Tahoma" w:eastAsia="Times New Roman" w:hAnsi="Tahoma" w:cs="Tahoma"/>
                <w:color w:val="000000"/>
                <w:sz w:val="19"/>
                <w:szCs w:val="19"/>
                <w:lang w:eastAsia="de-DE"/>
              </w:rPr>
            </w:pPr>
          </w:p>
        </w:tc>
      </w:tr>
    </w:tbl>
    <w:p w14:paraId="2BBE485D" w14:textId="77777777" w:rsidR="008B3258" w:rsidRDefault="008B3258">
      <w:pPr>
        <w:jc w:val="both"/>
        <w:rPr>
          <w:rFonts w:ascii="Melior Com" w:hAnsi="Melior Com"/>
          <w:i/>
        </w:rPr>
      </w:pPr>
    </w:p>
    <w:sectPr w:rsidR="008B3258">
      <w:headerReference w:type="default" r:id="rId8"/>
      <w:pgSz w:w="11906" w:h="16838"/>
      <w:pgMar w:top="1985" w:right="1417" w:bottom="284" w:left="1417" w:header="851"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5E34A" w14:textId="77777777" w:rsidR="001E7EEB" w:rsidRDefault="001E7EEB">
      <w:pPr>
        <w:spacing w:after="0" w:line="240" w:lineRule="auto"/>
      </w:pPr>
      <w:r>
        <w:separator/>
      </w:r>
    </w:p>
  </w:endnote>
  <w:endnote w:type="continuationSeparator" w:id="0">
    <w:p w14:paraId="0AE131F2" w14:textId="77777777" w:rsidR="001E7EEB" w:rsidRDefault="001E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Melior Com">
    <w:panose1 w:val="020405030505060408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7E1F2" w14:textId="77777777" w:rsidR="00AF6230" w:rsidRDefault="001E7EEB">
      <w:pPr>
        <w:rPr>
          <w:sz w:val="12"/>
        </w:rPr>
      </w:pPr>
      <w:r>
        <w:separator/>
      </w:r>
    </w:p>
  </w:footnote>
  <w:footnote w:type="continuationSeparator" w:id="0">
    <w:p w14:paraId="7F195C87" w14:textId="77777777" w:rsidR="00AF6230" w:rsidRDefault="001E7EEB">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3CE37" w14:textId="5ACA3857" w:rsidR="00AF6230" w:rsidRDefault="00046DDB">
    <w:pPr>
      <w:jc w:val="right"/>
      <w:rPr>
        <w:rFonts w:ascii="Melior Com" w:hAnsi="Melior Com"/>
      </w:rPr>
    </w:pPr>
    <w:r>
      <w:rPr>
        <w:rFonts w:ascii="Melior Com" w:hAnsi="Melior Com"/>
      </w:rPr>
      <w:t>12</w:t>
    </w:r>
    <w:r w:rsidR="001E7EEB">
      <w:rPr>
        <w:rFonts w:ascii="Melior Com" w:hAnsi="Melior Com"/>
      </w:rPr>
      <w:t>.</w:t>
    </w:r>
    <w:r>
      <w:rPr>
        <w:rFonts w:ascii="Melior Com" w:hAnsi="Melior Com"/>
      </w:rPr>
      <w:t>06</w:t>
    </w:r>
    <w:r w:rsidR="001E7EEB">
      <w:rPr>
        <w:rFonts w:ascii="Melior Com" w:hAnsi="Melior Com"/>
      </w:rPr>
      <w:t>.202</w:t>
    </w:r>
    <w:r>
      <w:rPr>
        <w:rFonts w:ascii="Melior Com" w:hAnsi="Melior Com"/>
      </w:rPr>
      <w:t>5</w:t>
    </w:r>
  </w:p>
  <w:p w14:paraId="4D4ADCBC" w14:textId="664F8515" w:rsidR="00AF6230" w:rsidRDefault="001E7EEB">
    <w:pPr>
      <w:rPr>
        <w:rFonts w:ascii="Melior Com" w:hAnsi="Melior Com"/>
        <w:sz w:val="21"/>
        <w:szCs w:val="21"/>
      </w:rPr>
    </w:pPr>
    <w:r>
      <w:rPr>
        <w:rFonts w:ascii="Melior Com" w:hAnsi="Melior Com"/>
        <w:b/>
      </w:rPr>
      <w:t>Caren Lay, MdB</w:t>
    </w:r>
    <w:r>
      <w:rPr>
        <w:rFonts w:ascii="Melior Com" w:hAnsi="Melior Com"/>
        <w:b/>
      </w:rPr>
      <w:br/>
    </w:r>
    <w:r>
      <w:rPr>
        <w:rFonts w:ascii="Melior Com" w:hAnsi="Melior Com"/>
        <w:sz w:val="21"/>
        <w:szCs w:val="21"/>
      </w:rPr>
      <w:t>Mieten-</w:t>
    </w:r>
    <w:r w:rsidR="00046DDB">
      <w:rPr>
        <w:rFonts w:ascii="Melior Com" w:hAnsi="Melior Com"/>
        <w:sz w:val="21"/>
        <w:szCs w:val="21"/>
      </w:rPr>
      <w:t xml:space="preserve"> </w:t>
    </w:r>
    <w:r>
      <w:rPr>
        <w:rFonts w:ascii="Melior Com" w:hAnsi="Melior Com"/>
        <w:sz w:val="21"/>
        <w:szCs w:val="21"/>
      </w:rPr>
      <w:t>und wohnungspolitische Sprecherin</w:t>
    </w:r>
    <w:r>
      <w:rPr>
        <w:rFonts w:ascii="Melior Com" w:hAnsi="Melior Com"/>
        <w:sz w:val="21"/>
        <w:szCs w:val="21"/>
      </w:rPr>
      <w:br/>
      <w:t>Die Linke im Bundestag</w:t>
    </w:r>
  </w:p>
  <w:p w14:paraId="4C030072" w14:textId="77777777" w:rsidR="00AF6230" w:rsidRDefault="00AF6230">
    <w:pPr>
      <w:rPr>
        <w:rFonts w:ascii="Melior Com" w:hAnsi="Melior Com"/>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230"/>
    <w:rsid w:val="00046DDB"/>
    <w:rsid w:val="00047FE6"/>
    <w:rsid w:val="001157E5"/>
    <w:rsid w:val="0017333F"/>
    <w:rsid w:val="001E7EEB"/>
    <w:rsid w:val="002404E4"/>
    <w:rsid w:val="003456D4"/>
    <w:rsid w:val="003A15F3"/>
    <w:rsid w:val="00475A5B"/>
    <w:rsid w:val="00707B5F"/>
    <w:rsid w:val="008974D0"/>
    <w:rsid w:val="008B3258"/>
    <w:rsid w:val="0092759E"/>
    <w:rsid w:val="00A43739"/>
    <w:rsid w:val="00AE1292"/>
    <w:rsid w:val="00AF2769"/>
    <w:rsid w:val="00AF6230"/>
    <w:rsid w:val="00CA6EEA"/>
    <w:rsid w:val="00CF46E4"/>
    <w:rsid w:val="00D4721C"/>
    <w:rsid w:val="00DE7463"/>
    <w:rsid w:val="00E30638"/>
    <w:rsid w:val="00E40157"/>
    <w:rsid w:val="00EB037A"/>
    <w:rsid w:val="00F0030F"/>
    <w:rsid w:val="00F64835"/>
    <w:rsid w:val="00FB0D2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71B7"/>
  <w15:docId w15:val="{EBC63699-54A0-4F7E-9F6E-4028AD79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val="0"/>
      <w:spacing w:after="160" w:line="259" w:lineRule="auto"/>
    </w:pPr>
  </w:style>
  <w:style w:type="paragraph" w:styleId="berschrift1">
    <w:name w:val="heading 1"/>
    <w:basedOn w:val="Standard"/>
    <w:uiPriority w:val="9"/>
    <w:qFormat/>
    <w:rsid w:val="00643F92"/>
    <w:pPr>
      <w:spacing w:beforeAutospacing="1" w:afterAutospacing="1" w:line="240" w:lineRule="auto"/>
      <w:outlineLvl w:val="0"/>
    </w:pPr>
    <w:rPr>
      <w:rFonts w:ascii="Times New Roman" w:eastAsia="Times New Roman" w:hAnsi="Times New Roman" w:cs="Times New Roman"/>
      <w:b/>
      <w:bCs/>
      <w:kern w:val="2"/>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chn">
    <w:name w:val="Fußnotentext Zchn"/>
    <w:basedOn w:val="Absatz-Standardschriftart"/>
    <w:link w:val="Funotentext"/>
    <w:uiPriority w:val="99"/>
    <w:semiHidden/>
    <w:qFormat/>
    <w:rsid w:val="00C614FC"/>
    <w:rPr>
      <w:sz w:val="20"/>
      <w:szCs w:val="20"/>
    </w:rPr>
  </w:style>
  <w:style w:type="character" w:customStyle="1" w:styleId="FootnoteCharacters">
    <w:name w:val="Footnote Characters"/>
    <w:basedOn w:val="Absatz-Standardschriftart"/>
    <w:uiPriority w:val="99"/>
    <w:semiHidden/>
    <w:unhideWhenUsed/>
    <w:qFormat/>
    <w:rsid w:val="00C614FC"/>
    <w:rPr>
      <w:vertAlign w:val="superscript"/>
    </w:rPr>
  </w:style>
  <w:style w:type="character" w:customStyle="1" w:styleId="FootnoteAnchor">
    <w:name w:val="Footnote Anchor"/>
    <w:rPr>
      <w:vertAlign w:val="superscript"/>
    </w:rPr>
  </w:style>
  <w:style w:type="character" w:customStyle="1" w:styleId="KopfzeileZchn">
    <w:name w:val="Kopfzeile Zchn"/>
    <w:basedOn w:val="Absatz-Standardschriftart"/>
    <w:link w:val="Kopfzeile"/>
    <w:uiPriority w:val="99"/>
    <w:qFormat/>
    <w:rsid w:val="00710C2A"/>
  </w:style>
  <w:style w:type="character" w:customStyle="1" w:styleId="FuzeileZchn">
    <w:name w:val="Fußzeile Zchn"/>
    <w:basedOn w:val="Absatz-Standardschriftart"/>
    <w:link w:val="Fuzeile"/>
    <w:uiPriority w:val="99"/>
    <w:qFormat/>
    <w:rsid w:val="00710C2A"/>
  </w:style>
  <w:style w:type="character" w:customStyle="1" w:styleId="SprechblasentextZchn">
    <w:name w:val="Sprechblasentext Zchn"/>
    <w:basedOn w:val="Absatz-Standardschriftart"/>
    <w:link w:val="Sprechblasentext"/>
    <w:uiPriority w:val="99"/>
    <w:semiHidden/>
    <w:qFormat/>
    <w:rsid w:val="00947BEE"/>
    <w:rPr>
      <w:rFonts w:ascii="Segoe UI" w:hAnsi="Segoe UI" w:cs="Segoe UI"/>
      <w:sz w:val="18"/>
      <w:szCs w:val="18"/>
    </w:rPr>
  </w:style>
  <w:style w:type="character" w:styleId="Hyperlink">
    <w:name w:val="Hyperlink"/>
    <w:basedOn w:val="Absatz-Standardschriftart"/>
    <w:uiPriority w:val="99"/>
    <w:unhideWhenUsed/>
    <w:rsid w:val="00A823B6"/>
    <w:rPr>
      <w:color w:val="0563C1" w:themeColor="hyperlink"/>
      <w:u w:val="single"/>
    </w:rPr>
  </w:style>
  <w:style w:type="character" w:customStyle="1" w:styleId="NurTextZchn">
    <w:name w:val="Nur Text Zchn"/>
    <w:basedOn w:val="Absatz-Standardschriftart"/>
    <w:link w:val="NurText"/>
    <w:uiPriority w:val="99"/>
    <w:semiHidden/>
    <w:qFormat/>
    <w:rsid w:val="004E2E38"/>
    <w:rPr>
      <w:rFonts w:ascii="Calibri" w:hAnsi="Calibri"/>
      <w:szCs w:val="21"/>
    </w:rPr>
  </w:style>
  <w:style w:type="character" w:customStyle="1" w:styleId="berschrift1Zchn">
    <w:name w:val="Überschrift 1 Zchn"/>
    <w:basedOn w:val="Absatz-Standardschriftart"/>
    <w:uiPriority w:val="9"/>
    <w:qFormat/>
    <w:rsid w:val="00643F92"/>
    <w:rPr>
      <w:rFonts w:ascii="Times New Roman" w:eastAsia="Times New Roman" w:hAnsi="Times New Roman" w:cs="Times New Roman"/>
      <w:b/>
      <w:bCs/>
      <w:kern w:val="2"/>
      <w:sz w:val="48"/>
      <w:szCs w:val="48"/>
      <w:lang w:eastAsia="de-DE"/>
    </w:rPr>
  </w:style>
  <w:style w:type="character" w:styleId="Kommentarzeichen">
    <w:name w:val="annotation reference"/>
    <w:basedOn w:val="Absatz-Standardschriftart"/>
    <w:uiPriority w:val="99"/>
    <w:semiHidden/>
    <w:unhideWhenUsed/>
    <w:qFormat/>
    <w:rsid w:val="0082647F"/>
    <w:rPr>
      <w:sz w:val="16"/>
      <w:szCs w:val="16"/>
    </w:rPr>
  </w:style>
  <w:style w:type="character" w:customStyle="1" w:styleId="KommentartextZchn">
    <w:name w:val="Kommentartext Zchn"/>
    <w:basedOn w:val="Absatz-Standardschriftart"/>
    <w:link w:val="Kommentartext"/>
    <w:uiPriority w:val="99"/>
    <w:semiHidden/>
    <w:qFormat/>
    <w:rsid w:val="0082647F"/>
    <w:rPr>
      <w:sz w:val="20"/>
      <w:szCs w:val="20"/>
    </w:rPr>
  </w:style>
  <w:style w:type="character" w:customStyle="1" w:styleId="KommentarthemaZchn">
    <w:name w:val="Kommentarthema Zchn"/>
    <w:basedOn w:val="KommentartextZchn"/>
    <w:link w:val="Kommentarthema"/>
    <w:uiPriority w:val="99"/>
    <w:semiHidden/>
    <w:qFormat/>
    <w:rsid w:val="0082647F"/>
    <w:rPr>
      <w:b/>
      <w:bCs/>
      <w:sz w:val="20"/>
      <w:szCs w:val="20"/>
    </w:rPr>
  </w:style>
  <w:style w:type="character" w:styleId="NichtaufgelsteErwhnung">
    <w:name w:val="Unresolved Mention"/>
    <w:basedOn w:val="Absatz-Standardschriftart"/>
    <w:uiPriority w:val="99"/>
    <w:semiHidden/>
    <w:unhideWhenUsed/>
    <w:qFormat/>
    <w:rsid w:val="001810A6"/>
    <w:rPr>
      <w:color w:val="605E5C"/>
      <w:shd w:val="clear" w:color="auto" w:fill="E1DFDD"/>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 w:val="24"/>
      <w:szCs w:val="24"/>
    </w:rPr>
  </w:style>
  <w:style w:type="paragraph" w:customStyle="1" w:styleId="Index">
    <w:name w:val="Index"/>
    <w:basedOn w:val="Standard"/>
    <w:qFormat/>
    <w:pPr>
      <w:suppressLineNumbers/>
    </w:pPr>
    <w:rPr>
      <w:rFonts w:cs="Arial Unicode MS"/>
    </w:rPr>
  </w:style>
  <w:style w:type="paragraph" w:styleId="Funotentext">
    <w:name w:val="footnote text"/>
    <w:basedOn w:val="Standard"/>
    <w:link w:val="FunotentextZchn"/>
    <w:uiPriority w:val="99"/>
    <w:semiHidden/>
    <w:unhideWhenUsed/>
    <w:rsid w:val="00C614FC"/>
    <w:pPr>
      <w:spacing w:after="0" w:line="240" w:lineRule="auto"/>
    </w:pPr>
    <w:rPr>
      <w:sz w:val="20"/>
      <w:szCs w:val="20"/>
    </w:rPr>
  </w:style>
  <w:style w:type="paragraph" w:styleId="Listenabsatz">
    <w:name w:val="List Paragraph"/>
    <w:basedOn w:val="Standard"/>
    <w:uiPriority w:val="34"/>
    <w:qFormat/>
    <w:rsid w:val="00695002"/>
    <w:pPr>
      <w:ind w:left="720"/>
      <w:contextualSpacing/>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710C2A"/>
    <w:pPr>
      <w:tabs>
        <w:tab w:val="center" w:pos="4536"/>
        <w:tab w:val="right" w:pos="9072"/>
      </w:tabs>
      <w:spacing w:after="0" w:line="240" w:lineRule="auto"/>
    </w:pPr>
  </w:style>
  <w:style w:type="paragraph" w:styleId="Fuzeile">
    <w:name w:val="footer"/>
    <w:basedOn w:val="Standard"/>
    <w:link w:val="FuzeileZchn"/>
    <w:uiPriority w:val="99"/>
    <w:unhideWhenUsed/>
    <w:rsid w:val="00710C2A"/>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947BEE"/>
    <w:pPr>
      <w:spacing w:after="0" w:line="240" w:lineRule="auto"/>
    </w:pPr>
    <w:rPr>
      <w:rFonts w:ascii="Segoe UI" w:hAnsi="Segoe UI" w:cs="Segoe UI"/>
      <w:sz w:val="18"/>
      <w:szCs w:val="18"/>
    </w:rPr>
  </w:style>
  <w:style w:type="paragraph" w:styleId="NurText">
    <w:name w:val="Plain Text"/>
    <w:basedOn w:val="Standard"/>
    <w:link w:val="NurTextZchn"/>
    <w:uiPriority w:val="99"/>
    <w:semiHidden/>
    <w:unhideWhenUsed/>
    <w:qFormat/>
    <w:rsid w:val="004E2E38"/>
    <w:pPr>
      <w:spacing w:after="0" w:line="240" w:lineRule="auto"/>
    </w:pPr>
    <w:rPr>
      <w:rFonts w:ascii="Calibri" w:hAnsi="Calibri"/>
      <w:szCs w:val="21"/>
    </w:rPr>
  </w:style>
  <w:style w:type="paragraph" w:customStyle="1" w:styleId="mediabox-clearfix">
    <w:name w:val="mediabox-clearfix"/>
    <w:basedOn w:val="Standard"/>
    <w:qFormat/>
    <w:rsid w:val="00643F92"/>
    <w:pPr>
      <w:spacing w:beforeAutospacing="1"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qFormat/>
    <w:rsid w:val="00643F92"/>
    <w:pPr>
      <w:spacing w:beforeAutospacing="1"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semiHidden/>
    <w:unhideWhenUsed/>
    <w:qFormat/>
    <w:rsid w:val="0082647F"/>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82647F"/>
    <w:rPr>
      <w:b/>
      <w:bCs/>
    </w:rPr>
  </w:style>
  <w:style w:type="paragraph" w:styleId="berarbeitung">
    <w:name w:val="Revision"/>
    <w:uiPriority w:val="99"/>
    <w:semiHidden/>
    <w:qFormat/>
    <w:rsid w:val="009C4E1B"/>
  </w:style>
  <w:style w:type="table" w:styleId="Tabellenraster">
    <w:name w:val="Table Grid"/>
    <w:basedOn w:val="NormaleTabelle"/>
    <w:uiPriority w:val="39"/>
    <w:rsid w:val="00DB1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3">
    <w:name w:val="Plain Table 3"/>
    <w:basedOn w:val="NormaleTabelle"/>
    <w:uiPriority w:val="43"/>
    <w:rsid w:val="0077486E"/>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5045">
      <w:bodyDiv w:val="1"/>
      <w:marLeft w:val="0"/>
      <w:marRight w:val="0"/>
      <w:marTop w:val="0"/>
      <w:marBottom w:val="0"/>
      <w:divBdr>
        <w:top w:val="none" w:sz="0" w:space="0" w:color="auto"/>
        <w:left w:val="none" w:sz="0" w:space="0" w:color="auto"/>
        <w:bottom w:val="none" w:sz="0" w:space="0" w:color="auto"/>
        <w:right w:val="none" w:sz="0" w:space="0" w:color="auto"/>
      </w:divBdr>
    </w:div>
    <w:div w:id="406152465">
      <w:bodyDiv w:val="1"/>
      <w:marLeft w:val="0"/>
      <w:marRight w:val="0"/>
      <w:marTop w:val="0"/>
      <w:marBottom w:val="0"/>
      <w:divBdr>
        <w:top w:val="none" w:sz="0" w:space="0" w:color="auto"/>
        <w:left w:val="none" w:sz="0" w:space="0" w:color="auto"/>
        <w:bottom w:val="none" w:sz="0" w:space="0" w:color="auto"/>
        <w:right w:val="none" w:sz="0" w:space="0" w:color="auto"/>
      </w:divBdr>
    </w:div>
    <w:div w:id="482427984">
      <w:bodyDiv w:val="1"/>
      <w:marLeft w:val="0"/>
      <w:marRight w:val="0"/>
      <w:marTop w:val="0"/>
      <w:marBottom w:val="0"/>
      <w:divBdr>
        <w:top w:val="none" w:sz="0" w:space="0" w:color="auto"/>
        <w:left w:val="none" w:sz="0" w:space="0" w:color="auto"/>
        <w:bottom w:val="none" w:sz="0" w:space="0" w:color="auto"/>
        <w:right w:val="none" w:sz="0" w:space="0" w:color="auto"/>
      </w:divBdr>
    </w:div>
    <w:div w:id="671761564">
      <w:bodyDiv w:val="1"/>
      <w:marLeft w:val="0"/>
      <w:marRight w:val="0"/>
      <w:marTop w:val="0"/>
      <w:marBottom w:val="0"/>
      <w:divBdr>
        <w:top w:val="none" w:sz="0" w:space="0" w:color="auto"/>
        <w:left w:val="none" w:sz="0" w:space="0" w:color="auto"/>
        <w:bottom w:val="none" w:sz="0" w:space="0" w:color="auto"/>
        <w:right w:val="none" w:sz="0" w:space="0" w:color="auto"/>
      </w:divBdr>
    </w:div>
    <w:div w:id="1013413875">
      <w:bodyDiv w:val="1"/>
      <w:marLeft w:val="0"/>
      <w:marRight w:val="0"/>
      <w:marTop w:val="0"/>
      <w:marBottom w:val="0"/>
      <w:divBdr>
        <w:top w:val="none" w:sz="0" w:space="0" w:color="auto"/>
        <w:left w:val="none" w:sz="0" w:space="0" w:color="auto"/>
        <w:bottom w:val="none" w:sz="0" w:space="0" w:color="auto"/>
        <w:right w:val="none" w:sz="0" w:space="0" w:color="auto"/>
      </w:divBdr>
    </w:div>
    <w:div w:id="1175346522">
      <w:bodyDiv w:val="1"/>
      <w:marLeft w:val="0"/>
      <w:marRight w:val="0"/>
      <w:marTop w:val="0"/>
      <w:marBottom w:val="0"/>
      <w:divBdr>
        <w:top w:val="none" w:sz="0" w:space="0" w:color="auto"/>
        <w:left w:val="none" w:sz="0" w:space="0" w:color="auto"/>
        <w:bottom w:val="none" w:sz="0" w:space="0" w:color="auto"/>
        <w:right w:val="none" w:sz="0" w:space="0" w:color="auto"/>
      </w:divBdr>
    </w:div>
    <w:div w:id="1336031508">
      <w:bodyDiv w:val="1"/>
      <w:marLeft w:val="0"/>
      <w:marRight w:val="0"/>
      <w:marTop w:val="0"/>
      <w:marBottom w:val="0"/>
      <w:divBdr>
        <w:top w:val="none" w:sz="0" w:space="0" w:color="auto"/>
        <w:left w:val="none" w:sz="0" w:space="0" w:color="auto"/>
        <w:bottom w:val="none" w:sz="0" w:space="0" w:color="auto"/>
        <w:right w:val="none" w:sz="0" w:space="0" w:color="auto"/>
      </w:divBdr>
    </w:div>
    <w:div w:id="1431774524">
      <w:bodyDiv w:val="1"/>
      <w:marLeft w:val="0"/>
      <w:marRight w:val="0"/>
      <w:marTop w:val="0"/>
      <w:marBottom w:val="0"/>
      <w:divBdr>
        <w:top w:val="none" w:sz="0" w:space="0" w:color="auto"/>
        <w:left w:val="none" w:sz="0" w:space="0" w:color="auto"/>
        <w:bottom w:val="none" w:sz="0" w:space="0" w:color="auto"/>
        <w:right w:val="none" w:sz="0" w:space="0" w:color="auto"/>
      </w:divBdr>
    </w:div>
    <w:div w:id="178364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server.bundestag.de/btd/20/136/201368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5A6AF-3F13-41EF-8658-ED45F2F8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Meinert - MA Caren Lay 02</dc:creator>
  <dc:description/>
  <cp:lastModifiedBy>Hanno Bruchmann - Büro Caren Lay, MdB</cp:lastModifiedBy>
  <cp:revision>5</cp:revision>
  <cp:lastPrinted>2024-11-26T14:24:00Z</cp:lastPrinted>
  <dcterms:created xsi:type="dcterms:W3CDTF">2025-06-12T14:33:00Z</dcterms:created>
  <dcterms:modified xsi:type="dcterms:W3CDTF">2025-06-12T14:48:00Z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Deutscher Bundestag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