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0D6E" w14:textId="560DF133" w:rsidR="008D212C" w:rsidRPr="00026F3E" w:rsidRDefault="00A17D93">
      <w:pPr>
        <w:rPr>
          <w:b/>
          <w:bCs/>
          <w:sz w:val="24"/>
          <w:szCs w:val="24"/>
        </w:rPr>
      </w:pPr>
      <w:r w:rsidRPr="002741D1">
        <w:rPr>
          <w:b/>
          <w:bCs/>
          <w:sz w:val="24"/>
          <w:szCs w:val="24"/>
          <w:u w:val="single"/>
        </w:rPr>
        <w:t>Immo-Lobby:</w:t>
      </w:r>
      <w:r>
        <w:rPr>
          <w:b/>
          <w:bCs/>
          <w:sz w:val="28"/>
          <w:szCs w:val="28"/>
        </w:rPr>
        <w:br/>
      </w:r>
      <w:r w:rsidR="00026F3E">
        <w:rPr>
          <w:b/>
          <w:bCs/>
          <w:sz w:val="28"/>
          <w:szCs w:val="28"/>
        </w:rPr>
        <w:t>Übersicht Spenden</w:t>
      </w:r>
      <w:r w:rsidR="00E8016C">
        <w:rPr>
          <w:b/>
          <w:bCs/>
          <w:sz w:val="28"/>
          <w:szCs w:val="28"/>
        </w:rPr>
        <w:t xml:space="preserve"> der Immobilien</w:t>
      </w:r>
      <w:r w:rsidR="00A33CE9">
        <w:rPr>
          <w:b/>
          <w:bCs/>
          <w:sz w:val="28"/>
          <w:szCs w:val="28"/>
        </w:rPr>
        <w:t>l</w:t>
      </w:r>
      <w:r w:rsidR="00E8016C">
        <w:rPr>
          <w:b/>
          <w:bCs/>
          <w:sz w:val="28"/>
          <w:szCs w:val="28"/>
        </w:rPr>
        <w:t>obby</w:t>
      </w:r>
      <w:r w:rsidR="00026F3E">
        <w:rPr>
          <w:b/>
          <w:bCs/>
          <w:sz w:val="28"/>
          <w:szCs w:val="28"/>
        </w:rPr>
        <w:t xml:space="preserve"> nach Parteien</w:t>
      </w:r>
      <w:r w:rsidR="00026F3E">
        <w:rPr>
          <w:b/>
          <w:bCs/>
          <w:sz w:val="28"/>
          <w:szCs w:val="28"/>
        </w:rPr>
        <w:br/>
      </w:r>
      <w:r w:rsidR="00026F3E" w:rsidRPr="002971CB">
        <w:rPr>
          <w:b/>
          <w:bCs/>
        </w:rPr>
        <w:t>Stand</w:t>
      </w:r>
      <w:r w:rsidR="0010514A" w:rsidRPr="002971CB">
        <w:rPr>
          <w:b/>
          <w:bCs/>
        </w:rPr>
        <w:t>:</w:t>
      </w:r>
      <w:r w:rsidR="00026F3E" w:rsidRPr="002971CB">
        <w:rPr>
          <w:b/>
          <w:bCs/>
        </w:rPr>
        <w:t xml:space="preserve"> </w:t>
      </w:r>
      <w:r w:rsidR="00C86BD9" w:rsidRPr="002971CB">
        <w:rPr>
          <w:b/>
          <w:bCs/>
        </w:rPr>
        <w:t>27</w:t>
      </w:r>
      <w:r w:rsidR="00026F3E" w:rsidRPr="002971CB">
        <w:rPr>
          <w:b/>
          <w:bCs/>
        </w:rPr>
        <w:t>.0</w:t>
      </w:r>
      <w:r w:rsidR="00C86BD9" w:rsidRPr="002971CB">
        <w:rPr>
          <w:b/>
          <w:bCs/>
        </w:rPr>
        <w:t>8</w:t>
      </w:r>
      <w:r w:rsidR="00026F3E" w:rsidRPr="002971CB">
        <w:rPr>
          <w:b/>
          <w:bCs/>
        </w:rPr>
        <w:t>.2</w:t>
      </w:r>
      <w:r w:rsidR="00C86BD9" w:rsidRPr="002971CB">
        <w:rPr>
          <w:b/>
          <w:bCs/>
        </w:rPr>
        <w:t>5</w:t>
      </w:r>
      <w:r w:rsidR="00B36E02" w:rsidRPr="002971CB">
        <w:rPr>
          <w:b/>
          <w:bCs/>
        </w:rPr>
        <w:t>,</w:t>
      </w:r>
      <w:r w:rsidR="008D212C" w:rsidRPr="002971CB">
        <w:rPr>
          <w:b/>
          <w:bCs/>
        </w:rPr>
        <w:t xml:space="preserve"> alle Angaben auf Grundlage</w:t>
      </w:r>
      <w:r w:rsidR="00B42941" w:rsidRPr="002971CB">
        <w:rPr>
          <w:b/>
          <w:bCs/>
        </w:rPr>
        <w:t xml:space="preserve"> der Parteispenden-Datenbank von </w:t>
      </w:r>
      <w:proofErr w:type="spellStart"/>
      <w:r w:rsidR="00B42941" w:rsidRPr="002971CB">
        <w:rPr>
          <w:b/>
          <w:bCs/>
        </w:rPr>
        <w:t>Lobby</w:t>
      </w:r>
      <w:r w:rsidR="0010514A" w:rsidRPr="002971CB">
        <w:rPr>
          <w:b/>
          <w:bCs/>
        </w:rPr>
        <w:t>control</w:t>
      </w:r>
      <w:proofErr w:type="spellEnd"/>
      <w:r w:rsidR="00C86BD9" w:rsidRPr="002971CB">
        <w:rPr>
          <w:b/>
          <w:bCs/>
        </w:rPr>
        <w:t>, der durch den Deutschen Bundestag veröffentlichten Großspenden</w:t>
      </w:r>
      <w:r w:rsidR="00F022A0" w:rsidRPr="002971CB">
        <w:rPr>
          <w:b/>
          <w:bCs/>
        </w:rPr>
        <w:t xml:space="preserve"> und der Rechenschaftsberichte der Parteien</w:t>
      </w:r>
      <w:r w:rsidR="0010514A" w:rsidRPr="002971CB">
        <w:rPr>
          <w:rStyle w:val="Funotenzeichen"/>
          <w:b/>
          <w:bCs/>
        </w:rPr>
        <w:footnoteReference w:id="1"/>
      </w:r>
    </w:p>
    <w:p w14:paraId="24D1B536" w14:textId="51E23699" w:rsidR="00466222" w:rsidRDefault="00E8016C">
      <w:pPr>
        <w:rPr>
          <w:b/>
          <w:bCs/>
          <w:sz w:val="24"/>
          <w:szCs w:val="24"/>
        </w:rPr>
      </w:pPr>
      <w:r>
        <w:rPr>
          <w:b/>
          <w:bCs/>
          <w:sz w:val="24"/>
          <w:szCs w:val="24"/>
        </w:rPr>
        <w:t>Spenden aus der Immobilienlobby</w:t>
      </w:r>
      <w:r w:rsidR="001709A8">
        <w:rPr>
          <w:b/>
          <w:bCs/>
          <w:sz w:val="24"/>
          <w:szCs w:val="24"/>
        </w:rPr>
        <w:t xml:space="preserve"> nach Parteien</w:t>
      </w:r>
      <w:r w:rsidR="00164594">
        <w:rPr>
          <w:b/>
          <w:bCs/>
          <w:sz w:val="24"/>
          <w:szCs w:val="24"/>
        </w:rPr>
        <w:t xml:space="preserve"> zwischen 2000 und August 2025</w:t>
      </w:r>
    </w:p>
    <w:tbl>
      <w:tblPr>
        <w:tblStyle w:val="Tabellenraster"/>
        <w:tblW w:w="0" w:type="auto"/>
        <w:tblLook w:val="04A0" w:firstRow="1" w:lastRow="0" w:firstColumn="1" w:lastColumn="0" w:noHBand="0" w:noVBand="1"/>
      </w:tblPr>
      <w:tblGrid>
        <w:gridCol w:w="4531"/>
        <w:gridCol w:w="4531"/>
      </w:tblGrid>
      <w:tr w:rsidR="006B5BE3" w:rsidRPr="001709A8" w14:paraId="2B17C7A7" w14:textId="77777777" w:rsidTr="006B5BE3">
        <w:tc>
          <w:tcPr>
            <w:tcW w:w="4531" w:type="dxa"/>
          </w:tcPr>
          <w:p w14:paraId="272C2E60" w14:textId="77777777" w:rsidR="006B5BE3" w:rsidRPr="001709A8" w:rsidRDefault="006B5BE3" w:rsidP="00103EB1">
            <w:pPr>
              <w:rPr>
                <w:b/>
                <w:bCs/>
                <w:sz w:val="24"/>
                <w:szCs w:val="24"/>
              </w:rPr>
            </w:pPr>
            <w:r w:rsidRPr="001709A8">
              <w:rPr>
                <w:b/>
                <w:bCs/>
                <w:sz w:val="24"/>
                <w:szCs w:val="24"/>
              </w:rPr>
              <w:t>Partei</w:t>
            </w:r>
          </w:p>
        </w:tc>
        <w:tc>
          <w:tcPr>
            <w:tcW w:w="4531" w:type="dxa"/>
          </w:tcPr>
          <w:p w14:paraId="64FBCDEC" w14:textId="0450BD75" w:rsidR="006B5BE3" w:rsidRPr="001709A8" w:rsidRDefault="00164594" w:rsidP="00164594">
            <w:pPr>
              <w:jc w:val="right"/>
              <w:rPr>
                <w:b/>
                <w:bCs/>
                <w:sz w:val="24"/>
                <w:szCs w:val="24"/>
              </w:rPr>
            </w:pPr>
            <w:r>
              <w:rPr>
                <w:b/>
                <w:bCs/>
                <w:sz w:val="24"/>
                <w:szCs w:val="24"/>
              </w:rPr>
              <w:t>Spendensumme</w:t>
            </w:r>
            <w:r w:rsidR="006B5BE3">
              <w:rPr>
                <w:b/>
                <w:bCs/>
                <w:sz w:val="24"/>
                <w:szCs w:val="24"/>
              </w:rPr>
              <w:t xml:space="preserve"> in Euro</w:t>
            </w:r>
          </w:p>
        </w:tc>
      </w:tr>
      <w:tr w:rsidR="006B5BE3" w:rsidRPr="008D212C" w14:paraId="149004ED" w14:textId="77777777" w:rsidTr="008546EB">
        <w:tc>
          <w:tcPr>
            <w:tcW w:w="4531" w:type="dxa"/>
            <w:shd w:val="clear" w:color="auto" w:fill="E7E6E6" w:themeFill="background2"/>
          </w:tcPr>
          <w:p w14:paraId="4A53213E" w14:textId="77777777" w:rsidR="006B5BE3" w:rsidRPr="008546EB" w:rsidRDefault="006B5BE3" w:rsidP="00103EB1">
            <w:pPr>
              <w:rPr>
                <w:sz w:val="24"/>
                <w:szCs w:val="24"/>
                <w:highlight w:val="yellow"/>
              </w:rPr>
            </w:pPr>
            <w:r w:rsidRPr="008D212C">
              <w:rPr>
                <w:sz w:val="24"/>
                <w:szCs w:val="24"/>
              </w:rPr>
              <w:t>CDU</w:t>
            </w:r>
          </w:p>
        </w:tc>
        <w:tc>
          <w:tcPr>
            <w:tcW w:w="4531" w:type="dxa"/>
            <w:shd w:val="clear" w:color="auto" w:fill="E7E6E6" w:themeFill="background2"/>
          </w:tcPr>
          <w:p w14:paraId="722F1D9D" w14:textId="7A5D99DC" w:rsidR="006B5BE3" w:rsidRPr="00B147CD" w:rsidRDefault="00B147CD" w:rsidP="00B147CD">
            <w:pPr>
              <w:jc w:val="right"/>
              <w:rPr>
                <w:rFonts w:ascii="Calibri" w:hAnsi="Calibri" w:cs="Calibri"/>
                <w:color w:val="000000"/>
                <w:sz w:val="24"/>
                <w:szCs w:val="24"/>
              </w:rPr>
            </w:pPr>
            <w:r w:rsidRPr="00B147CD">
              <w:rPr>
                <w:rFonts w:ascii="Calibri" w:hAnsi="Calibri" w:cs="Calibri"/>
                <w:color w:val="000000"/>
                <w:sz w:val="24"/>
                <w:szCs w:val="24"/>
              </w:rPr>
              <w:t>6.883.638,64</w:t>
            </w:r>
          </w:p>
        </w:tc>
      </w:tr>
      <w:tr w:rsidR="005C5E63" w:rsidRPr="001709A8" w14:paraId="2981297B" w14:textId="77777777" w:rsidTr="006B5BE3">
        <w:tc>
          <w:tcPr>
            <w:tcW w:w="4531" w:type="dxa"/>
          </w:tcPr>
          <w:p w14:paraId="046C34FD" w14:textId="5405BB59" w:rsidR="005C5E63" w:rsidRDefault="005C5E63" w:rsidP="005C5E63">
            <w:pPr>
              <w:rPr>
                <w:sz w:val="24"/>
                <w:szCs w:val="24"/>
              </w:rPr>
            </w:pPr>
            <w:r>
              <w:rPr>
                <w:sz w:val="24"/>
                <w:szCs w:val="24"/>
              </w:rPr>
              <w:t>FDP</w:t>
            </w:r>
          </w:p>
        </w:tc>
        <w:tc>
          <w:tcPr>
            <w:tcW w:w="4531" w:type="dxa"/>
          </w:tcPr>
          <w:p w14:paraId="4639911F" w14:textId="731DD43B" w:rsidR="005C5E63" w:rsidRPr="00B147CD" w:rsidRDefault="00B147CD" w:rsidP="00B147CD">
            <w:pPr>
              <w:jc w:val="right"/>
              <w:rPr>
                <w:rFonts w:ascii="Calibri" w:hAnsi="Calibri" w:cs="Calibri"/>
                <w:color w:val="000000"/>
                <w:sz w:val="24"/>
                <w:szCs w:val="24"/>
              </w:rPr>
            </w:pPr>
            <w:r w:rsidRPr="00B147CD">
              <w:rPr>
                <w:rFonts w:ascii="Calibri" w:hAnsi="Calibri" w:cs="Calibri"/>
                <w:color w:val="000000"/>
                <w:sz w:val="24"/>
                <w:szCs w:val="24"/>
              </w:rPr>
              <w:t>2.883.319,80</w:t>
            </w:r>
          </w:p>
        </w:tc>
      </w:tr>
      <w:tr w:rsidR="006B5BE3" w:rsidRPr="001709A8" w14:paraId="15F0E654" w14:textId="77777777" w:rsidTr="006B5BE3">
        <w:tc>
          <w:tcPr>
            <w:tcW w:w="4531" w:type="dxa"/>
          </w:tcPr>
          <w:p w14:paraId="7419B95B" w14:textId="77777777" w:rsidR="006B5BE3" w:rsidRDefault="006B5BE3" w:rsidP="00103EB1">
            <w:pPr>
              <w:rPr>
                <w:sz w:val="24"/>
                <w:szCs w:val="24"/>
              </w:rPr>
            </w:pPr>
            <w:r>
              <w:rPr>
                <w:sz w:val="24"/>
                <w:szCs w:val="24"/>
              </w:rPr>
              <w:t>CSU</w:t>
            </w:r>
          </w:p>
        </w:tc>
        <w:tc>
          <w:tcPr>
            <w:tcW w:w="4531" w:type="dxa"/>
          </w:tcPr>
          <w:p w14:paraId="19E8E048" w14:textId="38D647A6" w:rsidR="006B5BE3" w:rsidRPr="00B147CD" w:rsidRDefault="00B147CD" w:rsidP="00B147CD">
            <w:pPr>
              <w:jc w:val="right"/>
              <w:rPr>
                <w:rFonts w:ascii="Calibri" w:hAnsi="Calibri" w:cs="Calibri"/>
                <w:color w:val="000000"/>
                <w:sz w:val="24"/>
                <w:szCs w:val="24"/>
              </w:rPr>
            </w:pPr>
            <w:r w:rsidRPr="00B147CD">
              <w:rPr>
                <w:rFonts w:ascii="Calibri" w:hAnsi="Calibri" w:cs="Calibri"/>
                <w:color w:val="000000"/>
                <w:sz w:val="24"/>
                <w:szCs w:val="24"/>
              </w:rPr>
              <w:t>2.173.191,11</w:t>
            </w:r>
          </w:p>
        </w:tc>
      </w:tr>
      <w:tr w:rsidR="006B5BE3" w:rsidRPr="001709A8" w14:paraId="34227749" w14:textId="77777777" w:rsidTr="006B5BE3">
        <w:tc>
          <w:tcPr>
            <w:tcW w:w="4531" w:type="dxa"/>
          </w:tcPr>
          <w:p w14:paraId="55C0D285" w14:textId="77777777" w:rsidR="006B5BE3" w:rsidRDefault="006B5BE3" w:rsidP="00103EB1">
            <w:pPr>
              <w:rPr>
                <w:sz w:val="24"/>
                <w:szCs w:val="24"/>
              </w:rPr>
            </w:pPr>
            <w:r>
              <w:rPr>
                <w:sz w:val="24"/>
                <w:szCs w:val="24"/>
              </w:rPr>
              <w:t>SPD</w:t>
            </w:r>
          </w:p>
        </w:tc>
        <w:tc>
          <w:tcPr>
            <w:tcW w:w="4531" w:type="dxa"/>
          </w:tcPr>
          <w:p w14:paraId="61592662" w14:textId="4BA3DE9B" w:rsidR="006B5BE3" w:rsidRPr="00B147CD" w:rsidRDefault="00B147CD" w:rsidP="00B147CD">
            <w:pPr>
              <w:jc w:val="right"/>
              <w:rPr>
                <w:rFonts w:ascii="Calibri" w:hAnsi="Calibri" w:cs="Calibri"/>
                <w:color w:val="000000"/>
                <w:sz w:val="24"/>
                <w:szCs w:val="24"/>
              </w:rPr>
            </w:pPr>
            <w:r w:rsidRPr="00B147CD">
              <w:rPr>
                <w:rFonts w:ascii="Calibri" w:hAnsi="Calibri" w:cs="Calibri"/>
                <w:color w:val="000000"/>
                <w:sz w:val="24"/>
                <w:szCs w:val="24"/>
              </w:rPr>
              <w:t>810.899,00</w:t>
            </w:r>
          </w:p>
        </w:tc>
      </w:tr>
      <w:tr w:rsidR="006B5BE3" w:rsidRPr="001709A8" w14:paraId="796163EC" w14:textId="77777777" w:rsidTr="006B5BE3">
        <w:tc>
          <w:tcPr>
            <w:tcW w:w="4531" w:type="dxa"/>
          </w:tcPr>
          <w:p w14:paraId="4131B4C6" w14:textId="2F65CDF7" w:rsidR="006B5BE3" w:rsidRDefault="00062800" w:rsidP="00103EB1">
            <w:pPr>
              <w:rPr>
                <w:sz w:val="24"/>
                <w:szCs w:val="24"/>
              </w:rPr>
            </w:pPr>
            <w:r>
              <w:rPr>
                <w:sz w:val="24"/>
                <w:szCs w:val="24"/>
              </w:rPr>
              <w:t>AfD</w:t>
            </w:r>
          </w:p>
        </w:tc>
        <w:tc>
          <w:tcPr>
            <w:tcW w:w="4531" w:type="dxa"/>
          </w:tcPr>
          <w:p w14:paraId="2AF0F7DB" w14:textId="77585D83" w:rsidR="006B5BE3" w:rsidRPr="00062800" w:rsidRDefault="00062800" w:rsidP="00103EB1">
            <w:pPr>
              <w:jc w:val="right"/>
              <w:rPr>
                <w:sz w:val="24"/>
                <w:szCs w:val="24"/>
              </w:rPr>
            </w:pPr>
            <w:r w:rsidRPr="00062800">
              <w:rPr>
                <w:rFonts w:ascii="Calibri" w:hAnsi="Calibri" w:cs="Calibri"/>
                <w:color w:val="000000"/>
                <w:sz w:val="24"/>
                <w:szCs w:val="24"/>
              </w:rPr>
              <w:t>422.550,00</w:t>
            </w:r>
          </w:p>
        </w:tc>
      </w:tr>
      <w:tr w:rsidR="006B5BE3" w:rsidRPr="001709A8" w14:paraId="0E5274C6" w14:textId="77777777" w:rsidTr="006B5BE3">
        <w:tc>
          <w:tcPr>
            <w:tcW w:w="4531" w:type="dxa"/>
          </w:tcPr>
          <w:p w14:paraId="28434CFF" w14:textId="1C0EFE0B" w:rsidR="006B5BE3" w:rsidRDefault="00062800" w:rsidP="00103EB1">
            <w:pPr>
              <w:rPr>
                <w:sz w:val="24"/>
                <w:szCs w:val="24"/>
              </w:rPr>
            </w:pPr>
            <w:r>
              <w:rPr>
                <w:sz w:val="24"/>
                <w:szCs w:val="24"/>
              </w:rPr>
              <w:t>Grüne</w:t>
            </w:r>
          </w:p>
        </w:tc>
        <w:tc>
          <w:tcPr>
            <w:tcW w:w="4531" w:type="dxa"/>
          </w:tcPr>
          <w:p w14:paraId="38ED9AA5" w14:textId="3936CCB8" w:rsidR="006B5BE3" w:rsidRPr="00062800" w:rsidRDefault="00062800" w:rsidP="00062800">
            <w:pPr>
              <w:jc w:val="right"/>
              <w:rPr>
                <w:rFonts w:ascii="Calibri" w:hAnsi="Calibri" w:cs="Calibri"/>
                <w:color w:val="000000"/>
                <w:sz w:val="24"/>
                <w:szCs w:val="24"/>
              </w:rPr>
            </w:pPr>
            <w:r>
              <w:rPr>
                <w:rFonts w:ascii="Calibri" w:hAnsi="Calibri" w:cs="Calibri"/>
                <w:color w:val="000000"/>
                <w:sz w:val="24"/>
                <w:szCs w:val="24"/>
              </w:rPr>
              <w:t>325.000,00</w:t>
            </w:r>
          </w:p>
        </w:tc>
      </w:tr>
      <w:tr w:rsidR="006B5BE3" w:rsidRPr="001709A8" w14:paraId="4D7AFA7A" w14:textId="77777777" w:rsidTr="006B5BE3">
        <w:tc>
          <w:tcPr>
            <w:tcW w:w="4531" w:type="dxa"/>
          </w:tcPr>
          <w:p w14:paraId="0C5698B0" w14:textId="77777777" w:rsidR="006B5BE3" w:rsidRDefault="006B5BE3" w:rsidP="00103EB1">
            <w:pPr>
              <w:rPr>
                <w:sz w:val="24"/>
                <w:szCs w:val="24"/>
              </w:rPr>
            </w:pPr>
            <w:r>
              <w:rPr>
                <w:sz w:val="24"/>
                <w:szCs w:val="24"/>
              </w:rPr>
              <w:t xml:space="preserve">Basis </w:t>
            </w:r>
          </w:p>
        </w:tc>
        <w:tc>
          <w:tcPr>
            <w:tcW w:w="4531" w:type="dxa"/>
          </w:tcPr>
          <w:p w14:paraId="712C59B9" w14:textId="2F6CFDBD" w:rsidR="006B5BE3" w:rsidRPr="00062800" w:rsidRDefault="006B5BE3" w:rsidP="00103EB1">
            <w:pPr>
              <w:jc w:val="right"/>
              <w:rPr>
                <w:sz w:val="24"/>
                <w:szCs w:val="24"/>
              </w:rPr>
            </w:pPr>
            <w:r w:rsidRPr="00062800">
              <w:rPr>
                <w:sz w:val="24"/>
                <w:szCs w:val="24"/>
              </w:rPr>
              <w:t>59</w:t>
            </w:r>
            <w:r w:rsidR="005C5E63" w:rsidRPr="00062800">
              <w:rPr>
                <w:sz w:val="24"/>
                <w:szCs w:val="24"/>
              </w:rPr>
              <w:t>.</w:t>
            </w:r>
            <w:r w:rsidRPr="00062800">
              <w:rPr>
                <w:sz w:val="24"/>
                <w:szCs w:val="24"/>
              </w:rPr>
              <w:t>270,92</w:t>
            </w:r>
          </w:p>
        </w:tc>
      </w:tr>
      <w:tr w:rsidR="008D212C" w:rsidRPr="008D212C" w14:paraId="4B361BA3" w14:textId="77777777" w:rsidTr="006B5BE3">
        <w:tc>
          <w:tcPr>
            <w:tcW w:w="4531" w:type="dxa"/>
          </w:tcPr>
          <w:p w14:paraId="79A29C2C" w14:textId="35BE29D3" w:rsidR="008D212C" w:rsidRPr="008546EB" w:rsidRDefault="008546EB" w:rsidP="00103EB1">
            <w:pPr>
              <w:rPr>
                <w:b/>
                <w:sz w:val="24"/>
                <w:szCs w:val="24"/>
              </w:rPr>
            </w:pPr>
            <w:r>
              <w:rPr>
                <w:b/>
                <w:sz w:val="24"/>
                <w:szCs w:val="24"/>
              </w:rPr>
              <w:t>SUMME</w:t>
            </w:r>
          </w:p>
        </w:tc>
        <w:tc>
          <w:tcPr>
            <w:tcW w:w="4531" w:type="dxa"/>
          </w:tcPr>
          <w:p w14:paraId="6E4E4190" w14:textId="60CC76EE" w:rsidR="008D212C" w:rsidRPr="00062800" w:rsidRDefault="00C86BD9" w:rsidP="00062800">
            <w:pPr>
              <w:jc w:val="right"/>
              <w:rPr>
                <w:rFonts w:ascii="Calibri" w:hAnsi="Calibri" w:cs="Calibri"/>
                <w:b/>
                <w:bCs/>
                <w:color w:val="000000"/>
                <w:sz w:val="24"/>
                <w:szCs w:val="24"/>
              </w:rPr>
            </w:pPr>
            <w:r w:rsidRPr="00C86BD9">
              <w:rPr>
                <w:rFonts w:ascii="Calibri" w:hAnsi="Calibri" w:cs="Calibri"/>
                <w:b/>
                <w:bCs/>
                <w:color w:val="000000"/>
                <w:sz w:val="24"/>
                <w:szCs w:val="24"/>
              </w:rPr>
              <w:t>13.557.869,47</w:t>
            </w:r>
          </w:p>
        </w:tc>
      </w:tr>
    </w:tbl>
    <w:p w14:paraId="2C57A0C5" w14:textId="77777777" w:rsidR="00164594" w:rsidRDefault="00164594"/>
    <w:p w14:paraId="21A7D713" w14:textId="11F694FF" w:rsidR="00164594" w:rsidRPr="00164594" w:rsidRDefault="00164594">
      <w:pPr>
        <w:rPr>
          <w:b/>
          <w:bCs/>
          <w:sz w:val="24"/>
          <w:szCs w:val="24"/>
        </w:rPr>
      </w:pPr>
      <w:r>
        <w:rPr>
          <w:b/>
          <w:bCs/>
          <w:sz w:val="24"/>
          <w:szCs w:val="24"/>
        </w:rPr>
        <w:t>Spenden aus der Immobilienlobby nach Parteien zwischen 2021 und 2025 (inkl. Wahlkampf ´21)</w:t>
      </w:r>
    </w:p>
    <w:tbl>
      <w:tblPr>
        <w:tblStyle w:val="Tabellenraster"/>
        <w:tblW w:w="0" w:type="auto"/>
        <w:tblLook w:val="04A0" w:firstRow="1" w:lastRow="0" w:firstColumn="1" w:lastColumn="0" w:noHBand="0" w:noVBand="1"/>
      </w:tblPr>
      <w:tblGrid>
        <w:gridCol w:w="4531"/>
        <w:gridCol w:w="4531"/>
      </w:tblGrid>
      <w:tr w:rsidR="001709A8" w14:paraId="0B10B1AB" w14:textId="77777777" w:rsidTr="001709A8">
        <w:tc>
          <w:tcPr>
            <w:tcW w:w="4531" w:type="dxa"/>
          </w:tcPr>
          <w:p w14:paraId="4193AC69" w14:textId="5CB909F3" w:rsidR="001709A8" w:rsidRPr="001709A8" w:rsidRDefault="001709A8">
            <w:pPr>
              <w:rPr>
                <w:b/>
                <w:bCs/>
                <w:sz w:val="24"/>
                <w:szCs w:val="24"/>
              </w:rPr>
            </w:pPr>
            <w:r w:rsidRPr="001709A8">
              <w:rPr>
                <w:b/>
                <w:bCs/>
                <w:sz w:val="24"/>
                <w:szCs w:val="24"/>
              </w:rPr>
              <w:t>Partei</w:t>
            </w:r>
          </w:p>
        </w:tc>
        <w:tc>
          <w:tcPr>
            <w:tcW w:w="4531" w:type="dxa"/>
          </w:tcPr>
          <w:p w14:paraId="594A1B93" w14:textId="4949BD64" w:rsidR="001709A8" w:rsidRPr="001709A8" w:rsidRDefault="00164594" w:rsidP="00164594">
            <w:pPr>
              <w:jc w:val="right"/>
              <w:rPr>
                <w:b/>
                <w:bCs/>
                <w:sz w:val="24"/>
                <w:szCs w:val="24"/>
              </w:rPr>
            </w:pPr>
            <w:r>
              <w:rPr>
                <w:b/>
                <w:bCs/>
                <w:sz w:val="24"/>
                <w:szCs w:val="24"/>
              </w:rPr>
              <w:t>Spendensumme in Euro</w:t>
            </w:r>
          </w:p>
        </w:tc>
      </w:tr>
      <w:tr w:rsidR="001709A8" w:rsidRPr="008D212C" w14:paraId="00F510AB" w14:textId="77777777" w:rsidTr="006F52BB">
        <w:tc>
          <w:tcPr>
            <w:tcW w:w="4531" w:type="dxa"/>
            <w:shd w:val="clear" w:color="auto" w:fill="E7E6E6" w:themeFill="background2"/>
          </w:tcPr>
          <w:p w14:paraId="1A7CA9BE" w14:textId="55DD976B" w:rsidR="001709A8" w:rsidRPr="008546EB" w:rsidRDefault="001709A8">
            <w:pPr>
              <w:rPr>
                <w:sz w:val="24"/>
                <w:szCs w:val="24"/>
                <w:highlight w:val="yellow"/>
              </w:rPr>
            </w:pPr>
            <w:r w:rsidRPr="008D212C">
              <w:rPr>
                <w:sz w:val="24"/>
                <w:szCs w:val="24"/>
              </w:rPr>
              <w:t>CDU</w:t>
            </w:r>
          </w:p>
        </w:tc>
        <w:tc>
          <w:tcPr>
            <w:tcW w:w="4531" w:type="dxa"/>
            <w:shd w:val="clear" w:color="auto" w:fill="E7E6E6" w:themeFill="background2"/>
          </w:tcPr>
          <w:p w14:paraId="3B888F7A" w14:textId="65A57B78" w:rsidR="001709A8" w:rsidRPr="00C50392" w:rsidRDefault="000E1567" w:rsidP="0004017D">
            <w:pPr>
              <w:jc w:val="right"/>
              <w:rPr>
                <w:rFonts w:ascii="Calibri" w:hAnsi="Calibri" w:cs="Calibri"/>
                <w:color w:val="000000"/>
              </w:rPr>
            </w:pPr>
            <w:r w:rsidRPr="000E1567">
              <w:rPr>
                <w:rFonts w:ascii="Calibri" w:hAnsi="Calibri" w:cs="Calibri"/>
                <w:color w:val="000000"/>
                <w:sz w:val="24"/>
                <w:szCs w:val="24"/>
              </w:rPr>
              <w:t>3.283.600,68</w:t>
            </w:r>
          </w:p>
        </w:tc>
      </w:tr>
      <w:tr w:rsidR="005C5E63" w14:paraId="118E354F" w14:textId="77777777" w:rsidTr="001709A8">
        <w:tc>
          <w:tcPr>
            <w:tcW w:w="4531" w:type="dxa"/>
          </w:tcPr>
          <w:p w14:paraId="3F9448FA" w14:textId="1B5509E4" w:rsidR="005C5E63" w:rsidRDefault="005C5E63" w:rsidP="005C5E63">
            <w:pPr>
              <w:rPr>
                <w:sz w:val="24"/>
                <w:szCs w:val="24"/>
              </w:rPr>
            </w:pPr>
            <w:r>
              <w:rPr>
                <w:sz w:val="24"/>
                <w:szCs w:val="24"/>
              </w:rPr>
              <w:t>FDP</w:t>
            </w:r>
          </w:p>
        </w:tc>
        <w:tc>
          <w:tcPr>
            <w:tcW w:w="4531" w:type="dxa"/>
          </w:tcPr>
          <w:p w14:paraId="36C07D28" w14:textId="174D960E" w:rsidR="005C5E63" w:rsidRPr="0004017D" w:rsidRDefault="000E1567" w:rsidP="0004017D">
            <w:pPr>
              <w:jc w:val="right"/>
              <w:rPr>
                <w:rFonts w:ascii="Calibri" w:hAnsi="Calibri" w:cs="Calibri"/>
                <w:color w:val="000000"/>
                <w:sz w:val="24"/>
                <w:szCs w:val="24"/>
              </w:rPr>
            </w:pPr>
            <w:r w:rsidRPr="000E1567">
              <w:rPr>
                <w:rFonts w:ascii="Calibri" w:hAnsi="Calibri" w:cs="Calibri"/>
                <w:color w:val="000000"/>
                <w:sz w:val="24"/>
                <w:szCs w:val="24"/>
              </w:rPr>
              <w:t>1.212.002</w:t>
            </w:r>
            <w:r>
              <w:rPr>
                <w:rFonts w:ascii="Calibri" w:hAnsi="Calibri" w:cs="Calibri"/>
                <w:color w:val="000000"/>
                <w:sz w:val="24"/>
                <w:szCs w:val="24"/>
              </w:rPr>
              <w:t>,00</w:t>
            </w:r>
          </w:p>
        </w:tc>
      </w:tr>
      <w:tr w:rsidR="000E1567" w14:paraId="05EBE3AC" w14:textId="77777777" w:rsidTr="001709A8">
        <w:tc>
          <w:tcPr>
            <w:tcW w:w="4531" w:type="dxa"/>
          </w:tcPr>
          <w:p w14:paraId="03A84148" w14:textId="671AD183" w:rsidR="000E1567" w:rsidRDefault="000E1567" w:rsidP="005C5E63">
            <w:pPr>
              <w:rPr>
                <w:sz w:val="24"/>
                <w:szCs w:val="24"/>
              </w:rPr>
            </w:pPr>
            <w:r>
              <w:rPr>
                <w:sz w:val="24"/>
                <w:szCs w:val="24"/>
              </w:rPr>
              <w:t>SPD</w:t>
            </w:r>
          </w:p>
        </w:tc>
        <w:tc>
          <w:tcPr>
            <w:tcW w:w="4531" w:type="dxa"/>
          </w:tcPr>
          <w:p w14:paraId="68DD1E9A" w14:textId="01EFAF07" w:rsidR="000E1567" w:rsidRPr="000E1567" w:rsidRDefault="000E1567" w:rsidP="0004017D">
            <w:pPr>
              <w:jc w:val="right"/>
              <w:rPr>
                <w:rFonts w:ascii="Calibri" w:hAnsi="Calibri" w:cs="Calibri"/>
                <w:color w:val="000000"/>
                <w:sz w:val="24"/>
                <w:szCs w:val="24"/>
              </w:rPr>
            </w:pPr>
            <w:r>
              <w:rPr>
                <w:rFonts w:ascii="Calibri" w:hAnsi="Calibri" w:cs="Calibri"/>
                <w:color w:val="000000"/>
                <w:sz w:val="24"/>
                <w:szCs w:val="24"/>
              </w:rPr>
              <w:t>404.309,00</w:t>
            </w:r>
          </w:p>
        </w:tc>
      </w:tr>
      <w:tr w:rsidR="005C5E63" w14:paraId="2ABB6287" w14:textId="77777777" w:rsidTr="001709A8">
        <w:tc>
          <w:tcPr>
            <w:tcW w:w="4531" w:type="dxa"/>
          </w:tcPr>
          <w:p w14:paraId="33241B3D" w14:textId="77FE232F" w:rsidR="005C5E63" w:rsidRDefault="000E1567" w:rsidP="005C5E63">
            <w:pPr>
              <w:rPr>
                <w:sz w:val="24"/>
                <w:szCs w:val="24"/>
              </w:rPr>
            </w:pPr>
            <w:r>
              <w:rPr>
                <w:sz w:val="24"/>
                <w:szCs w:val="24"/>
              </w:rPr>
              <w:t>CSU</w:t>
            </w:r>
          </w:p>
        </w:tc>
        <w:tc>
          <w:tcPr>
            <w:tcW w:w="4531" w:type="dxa"/>
          </w:tcPr>
          <w:p w14:paraId="0B35D1B9" w14:textId="45F5F4AB" w:rsidR="005C5E63" w:rsidRPr="0004017D" w:rsidRDefault="000E1567" w:rsidP="005C5E63">
            <w:pPr>
              <w:jc w:val="right"/>
              <w:rPr>
                <w:rFonts w:ascii="Calibri" w:hAnsi="Calibri" w:cs="Calibri"/>
                <w:color w:val="000000"/>
                <w:sz w:val="24"/>
                <w:szCs w:val="24"/>
              </w:rPr>
            </w:pPr>
            <w:r w:rsidRPr="000E1567">
              <w:rPr>
                <w:rFonts w:ascii="Calibri" w:hAnsi="Calibri" w:cs="Calibri"/>
                <w:color w:val="000000"/>
                <w:sz w:val="24"/>
                <w:szCs w:val="24"/>
              </w:rPr>
              <w:t>310.580</w:t>
            </w:r>
            <w:r>
              <w:rPr>
                <w:rFonts w:ascii="Calibri" w:hAnsi="Calibri" w:cs="Calibri"/>
                <w:color w:val="000000"/>
                <w:sz w:val="24"/>
                <w:szCs w:val="24"/>
              </w:rPr>
              <w:t>,00</w:t>
            </w:r>
          </w:p>
        </w:tc>
      </w:tr>
      <w:tr w:rsidR="00026F3E" w14:paraId="7AD337E4" w14:textId="77777777" w:rsidTr="001709A8">
        <w:tc>
          <w:tcPr>
            <w:tcW w:w="4531" w:type="dxa"/>
          </w:tcPr>
          <w:p w14:paraId="7AECE8FA" w14:textId="24182A82" w:rsidR="00026F3E" w:rsidRDefault="00062800" w:rsidP="00026F3E">
            <w:pPr>
              <w:rPr>
                <w:sz w:val="24"/>
                <w:szCs w:val="24"/>
              </w:rPr>
            </w:pPr>
            <w:r>
              <w:rPr>
                <w:sz w:val="24"/>
                <w:szCs w:val="24"/>
              </w:rPr>
              <w:t>Grüne</w:t>
            </w:r>
          </w:p>
        </w:tc>
        <w:tc>
          <w:tcPr>
            <w:tcW w:w="4531" w:type="dxa"/>
          </w:tcPr>
          <w:p w14:paraId="6DB2AE3C" w14:textId="3EAC4EA7" w:rsidR="00026F3E" w:rsidRPr="0004017D" w:rsidRDefault="00062800" w:rsidP="0004017D">
            <w:pPr>
              <w:jc w:val="right"/>
              <w:rPr>
                <w:rFonts w:ascii="Calibri" w:hAnsi="Calibri" w:cs="Calibri"/>
                <w:color w:val="000000"/>
                <w:sz w:val="24"/>
                <w:szCs w:val="24"/>
              </w:rPr>
            </w:pPr>
            <w:r>
              <w:rPr>
                <w:rFonts w:ascii="Calibri" w:hAnsi="Calibri" w:cs="Calibri"/>
                <w:color w:val="000000"/>
                <w:sz w:val="24"/>
                <w:szCs w:val="24"/>
              </w:rPr>
              <w:t>310.000,00</w:t>
            </w:r>
          </w:p>
        </w:tc>
      </w:tr>
      <w:tr w:rsidR="00026F3E" w14:paraId="3B95F13D" w14:textId="77777777" w:rsidTr="001709A8">
        <w:tc>
          <w:tcPr>
            <w:tcW w:w="4531" w:type="dxa"/>
          </w:tcPr>
          <w:p w14:paraId="270AA471" w14:textId="20D1421A" w:rsidR="00026F3E" w:rsidRDefault="00026F3E" w:rsidP="00026F3E">
            <w:pPr>
              <w:rPr>
                <w:sz w:val="24"/>
                <w:szCs w:val="24"/>
              </w:rPr>
            </w:pPr>
            <w:r>
              <w:rPr>
                <w:sz w:val="24"/>
                <w:szCs w:val="24"/>
              </w:rPr>
              <w:t>AfD</w:t>
            </w:r>
          </w:p>
        </w:tc>
        <w:tc>
          <w:tcPr>
            <w:tcW w:w="4531" w:type="dxa"/>
          </w:tcPr>
          <w:p w14:paraId="5E534549" w14:textId="7F9BC113" w:rsidR="00026F3E" w:rsidRPr="0004017D" w:rsidRDefault="00062800" w:rsidP="00026F3E">
            <w:pPr>
              <w:jc w:val="right"/>
              <w:rPr>
                <w:rFonts w:ascii="Calibri" w:hAnsi="Calibri" w:cs="Calibri"/>
                <w:color w:val="000000"/>
                <w:sz w:val="24"/>
                <w:szCs w:val="24"/>
              </w:rPr>
            </w:pPr>
            <w:r>
              <w:rPr>
                <w:sz w:val="24"/>
                <w:szCs w:val="24"/>
              </w:rPr>
              <w:t>265.050,00</w:t>
            </w:r>
          </w:p>
        </w:tc>
      </w:tr>
      <w:tr w:rsidR="001709A8" w14:paraId="728C6844" w14:textId="77777777" w:rsidTr="001709A8">
        <w:tc>
          <w:tcPr>
            <w:tcW w:w="4531" w:type="dxa"/>
          </w:tcPr>
          <w:p w14:paraId="2C2283EA" w14:textId="0CBB8600" w:rsidR="001709A8" w:rsidRDefault="001709A8">
            <w:pPr>
              <w:rPr>
                <w:sz w:val="24"/>
                <w:szCs w:val="24"/>
              </w:rPr>
            </w:pPr>
            <w:r>
              <w:rPr>
                <w:sz w:val="24"/>
                <w:szCs w:val="24"/>
              </w:rPr>
              <w:t xml:space="preserve">Basis </w:t>
            </w:r>
          </w:p>
        </w:tc>
        <w:tc>
          <w:tcPr>
            <w:tcW w:w="4531" w:type="dxa"/>
          </w:tcPr>
          <w:p w14:paraId="432B6347" w14:textId="5758E8A6" w:rsidR="001709A8" w:rsidRPr="0004017D" w:rsidRDefault="001709A8" w:rsidP="001709A8">
            <w:pPr>
              <w:jc w:val="right"/>
              <w:rPr>
                <w:sz w:val="24"/>
                <w:szCs w:val="24"/>
              </w:rPr>
            </w:pPr>
            <w:r w:rsidRPr="0004017D">
              <w:rPr>
                <w:sz w:val="24"/>
                <w:szCs w:val="24"/>
              </w:rPr>
              <w:t>59</w:t>
            </w:r>
            <w:r w:rsidR="005C5E63" w:rsidRPr="0004017D">
              <w:rPr>
                <w:sz w:val="24"/>
                <w:szCs w:val="24"/>
              </w:rPr>
              <w:t>.</w:t>
            </w:r>
            <w:r w:rsidRPr="0004017D">
              <w:rPr>
                <w:sz w:val="24"/>
                <w:szCs w:val="24"/>
              </w:rPr>
              <w:t>270,92</w:t>
            </w:r>
          </w:p>
        </w:tc>
      </w:tr>
      <w:tr w:rsidR="008D212C" w14:paraId="2004EC14" w14:textId="77777777" w:rsidTr="001709A8">
        <w:tc>
          <w:tcPr>
            <w:tcW w:w="4531" w:type="dxa"/>
          </w:tcPr>
          <w:p w14:paraId="005BB017" w14:textId="175A7FC5" w:rsidR="008D212C" w:rsidRPr="006F52BB" w:rsidRDefault="008D212C">
            <w:pPr>
              <w:rPr>
                <w:b/>
                <w:sz w:val="24"/>
                <w:szCs w:val="24"/>
              </w:rPr>
            </w:pPr>
            <w:r w:rsidRPr="006F52BB">
              <w:rPr>
                <w:b/>
                <w:sz w:val="24"/>
                <w:szCs w:val="24"/>
              </w:rPr>
              <w:t>SUMME</w:t>
            </w:r>
          </w:p>
        </w:tc>
        <w:tc>
          <w:tcPr>
            <w:tcW w:w="4531" w:type="dxa"/>
          </w:tcPr>
          <w:p w14:paraId="587F203F" w14:textId="3D4F2189" w:rsidR="008D212C" w:rsidRPr="0004017D" w:rsidRDefault="00DB5560" w:rsidP="0004017D">
            <w:pPr>
              <w:jc w:val="right"/>
              <w:rPr>
                <w:rFonts w:ascii="Calibri" w:hAnsi="Calibri" w:cs="Calibri"/>
                <w:b/>
                <w:bCs/>
                <w:color w:val="000000"/>
              </w:rPr>
            </w:pPr>
            <w:r w:rsidRPr="00DB5560">
              <w:rPr>
                <w:rFonts w:ascii="Calibri" w:hAnsi="Calibri" w:cs="Calibri"/>
                <w:b/>
                <w:bCs/>
                <w:color w:val="000000"/>
                <w:sz w:val="24"/>
                <w:szCs w:val="24"/>
              </w:rPr>
              <w:t>5.844.812,6</w:t>
            </w:r>
            <w:r>
              <w:rPr>
                <w:rFonts w:ascii="Calibri" w:hAnsi="Calibri" w:cs="Calibri"/>
                <w:b/>
                <w:bCs/>
                <w:color w:val="000000"/>
                <w:sz w:val="24"/>
                <w:szCs w:val="24"/>
              </w:rPr>
              <w:t>0</w:t>
            </w:r>
          </w:p>
        </w:tc>
      </w:tr>
    </w:tbl>
    <w:p w14:paraId="1C3FEF19" w14:textId="43FD1CF2" w:rsidR="00164594" w:rsidRPr="00164594" w:rsidRDefault="00164594">
      <w:pPr>
        <w:rPr>
          <w:b/>
          <w:bCs/>
          <w:sz w:val="24"/>
          <w:szCs w:val="24"/>
        </w:rPr>
      </w:pPr>
      <w:r>
        <w:rPr>
          <w:b/>
          <w:bCs/>
          <w:sz w:val="24"/>
          <w:szCs w:val="24"/>
        </w:rPr>
        <w:lastRenderedPageBreak/>
        <w:t xml:space="preserve">Spenden aus der Immobilienlobby nach Parteien </w:t>
      </w:r>
      <w:r>
        <w:rPr>
          <w:b/>
          <w:bCs/>
          <w:sz w:val="24"/>
          <w:szCs w:val="24"/>
        </w:rPr>
        <w:t>im Jahr 2024</w:t>
      </w:r>
    </w:p>
    <w:tbl>
      <w:tblPr>
        <w:tblStyle w:val="Tabellenraster"/>
        <w:tblW w:w="0" w:type="auto"/>
        <w:tblLook w:val="04A0" w:firstRow="1" w:lastRow="0" w:firstColumn="1" w:lastColumn="0" w:noHBand="0" w:noVBand="1"/>
      </w:tblPr>
      <w:tblGrid>
        <w:gridCol w:w="4531"/>
        <w:gridCol w:w="4531"/>
      </w:tblGrid>
      <w:tr w:rsidR="009B4A23" w:rsidRPr="001709A8" w14:paraId="42137FCB" w14:textId="77777777" w:rsidTr="009B4A23">
        <w:tc>
          <w:tcPr>
            <w:tcW w:w="4531" w:type="dxa"/>
          </w:tcPr>
          <w:p w14:paraId="10F2E72A" w14:textId="77777777" w:rsidR="009B4A23" w:rsidRPr="001709A8" w:rsidRDefault="009B4A23" w:rsidP="00103EB1">
            <w:pPr>
              <w:rPr>
                <w:b/>
                <w:bCs/>
                <w:sz w:val="24"/>
                <w:szCs w:val="24"/>
              </w:rPr>
            </w:pPr>
            <w:r w:rsidRPr="001709A8">
              <w:rPr>
                <w:b/>
                <w:bCs/>
                <w:sz w:val="24"/>
                <w:szCs w:val="24"/>
              </w:rPr>
              <w:t>Partei</w:t>
            </w:r>
          </w:p>
        </w:tc>
        <w:tc>
          <w:tcPr>
            <w:tcW w:w="4531" w:type="dxa"/>
          </w:tcPr>
          <w:p w14:paraId="519AFE1D" w14:textId="0311C22F" w:rsidR="009B4A23" w:rsidRPr="001709A8" w:rsidRDefault="00164594" w:rsidP="00164594">
            <w:pPr>
              <w:jc w:val="right"/>
              <w:rPr>
                <w:b/>
                <w:bCs/>
                <w:sz w:val="24"/>
                <w:szCs w:val="24"/>
              </w:rPr>
            </w:pPr>
            <w:r>
              <w:rPr>
                <w:b/>
                <w:bCs/>
                <w:sz w:val="24"/>
                <w:szCs w:val="24"/>
              </w:rPr>
              <w:t>Spendensumme in Euro</w:t>
            </w:r>
          </w:p>
        </w:tc>
      </w:tr>
      <w:tr w:rsidR="009B4A23" w:rsidRPr="001709A8" w14:paraId="543C998D" w14:textId="77777777" w:rsidTr="006F52BB">
        <w:tc>
          <w:tcPr>
            <w:tcW w:w="4531" w:type="dxa"/>
            <w:shd w:val="clear" w:color="auto" w:fill="E7E6E6" w:themeFill="background2"/>
          </w:tcPr>
          <w:p w14:paraId="011A5FBF" w14:textId="77777777" w:rsidR="009B4A23" w:rsidRDefault="009B4A23" w:rsidP="00103EB1">
            <w:pPr>
              <w:rPr>
                <w:sz w:val="24"/>
                <w:szCs w:val="24"/>
              </w:rPr>
            </w:pPr>
            <w:r>
              <w:rPr>
                <w:sz w:val="24"/>
                <w:szCs w:val="24"/>
              </w:rPr>
              <w:t>CDU</w:t>
            </w:r>
          </w:p>
        </w:tc>
        <w:tc>
          <w:tcPr>
            <w:tcW w:w="4531" w:type="dxa"/>
            <w:shd w:val="clear" w:color="auto" w:fill="E7E6E6" w:themeFill="background2"/>
          </w:tcPr>
          <w:p w14:paraId="6BD7E36C" w14:textId="27DEEFA0" w:rsidR="009B4A23" w:rsidRPr="0004017D" w:rsidRDefault="00E8016C" w:rsidP="0004017D">
            <w:pPr>
              <w:jc w:val="right"/>
              <w:rPr>
                <w:rFonts w:ascii="Calibri" w:hAnsi="Calibri" w:cs="Calibri"/>
                <w:color w:val="000000"/>
                <w:sz w:val="24"/>
                <w:szCs w:val="24"/>
              </w:rPr>
            </w:pPr>
            <w:r>
              <w:rPr>
                <w:rFonts w:ascii="Calibri" w:hAnsi="Calibri" w:cs="Calibri"/>
                <w:color w:val="000000"/>
                <w:sz w:val="24"/>
                <w:szCs w:val="24"/>
              </w:rPr>
              <w:t>850</w:t>
            </w:r>
            <w:r w:rsidR="00D91E83" w:rsidRPr="00D91E83">
              <w:rPr>
                <w:rFonts w:ascii="Calibri" w:hAnsi="Calibri" w:cs="Calibri"/>
                <w:color w:val="000000"/>
                <w:sz w:val="24"/>
                <w:szCs w:val="24"/>
              </w:rPr>
              <w:t>.000</w:t>
            </w:r>
            <w:r w:rsidR="00D91E83">
              <w:rPr>
                <w:rFonts w:ascii="Calibri" w:hAnsi="Calibri" w:cs="Calibri"/>
                <w:color w:val="000000"/>
                <w:sz w:val="24"/>
                <w:szCs w:val="24"/>
              </w:rPr>
              <w:t>,00</w:t>
            </w:r>
          </w:p>
        </w:tc>
      </w:tr>
      <w:tr w:rsidR="009B4A23" w:rsidRPr="001709A8" w14:paraId="591035F7" w14:textId="77777777" w:rsidTr="009B4A23">
        <w:tc>
          <w:tcPr>
            <w:tcW w:w="4531" w:type="dxa"/>
          </w:tcPr>
          <w:p w14:paraId="33DB8A38" w14:textId="77777777" w:rsidR="009B4A23" w:rsidRDefault="009B4A23" w:rsidP="00103EB1">
            <w:pPr>
              <w:rPr>
                <w:sz w:val="24"/>
                <w:szCs w:val="24"/>
              </w:rPr>
            </w:pPr>
            <w:r>
              <w:rPr>
                <w:sz w:val="24"/>
                <w:szCs w:val="24"/>
              </w:rPr>
              <w:t>FDP</w:t>
            </w:r>
          </w:p>
        </w:tc>
        <w:tc>
          <w:tcPr>
            <w:tcW w:w="4531" w:type="dxa"/>
          </w:tcPr>
          <w:p w14:paraId="08525193" w14:textId="19C59A4B" w:rsidR="009B4A23" w:rsidRPr="0004017D" w:rsidRDefault="00E8016C" w:rsidP="0004017D">
            <w:pPr>
              <w:jc w:val="right"/>
              <w:rPr>
                <w:rFonts w:ascii="Calibri" w:hAnsi="Calibri" w:cs="Calibri"/>
                <w:color w:val="000000"/>
                <w:sz w:val="24"/>
                <w:szCs w:val="24"/>
              </w:rPr>
            </w:pPr>
            <w:r>
              <w:rPr>
                <w:rFonts w:ascii="Calibri" w:hAnsi="Calibri" w:cs="Calibri"/>
                <w:color w:val="000000"/>
                <w:sz w:val="24"/>
                <w:szCs w:val="24"/>
              </w:rPr>
              <w:t>140</w:t>
            </w:r>
            <w:r w:rsidR="00C35967">
              <w:rPr>
                <w:rFonts w:ascii="Calibri" w:hAnsi="Calibri" w:cs="Calibri"/>
                <w:color w:val="000000"/>
                <w:sz w:val="24"/>
                <w:szCs w:val="24"/>
              </w:rPr>
              <w:t>.000,00</w:t>
            </w:r>
          </w:p>
        </w:tc>
      </w:tr>
      <w:tr w:rsidR="00D234FA" w14:paraId="7765C406" w14:textId="77777777" w:rsidTr="00D234FA">
        <w:tc>
          <w:tcPr>
            <w:tcW w:w="4531" w:type="dxa"/>
          </w:tcPr>
          <w:p w14:paraId="4CC611C5" w14:textId="77777777" w:rsidR="00D234FA" w:rsidRDefault="00D234FA" w:rsidP="00103EB1">
            <w:pPr>
              <w:rPr>
                <w:sz w:val="24"/>
                <w:szCs w:val="24"/>
              </w:rPr>
            </w:pPr>
            <w:r>
              <w:rPr>
                <w:sz w:val="24"/>
                <w:szCs w:val="24"/>
              </w:rPr>
              <w:t>SPD</w:t>
            </w:r>
          </w:p>
        </w:tc>
        <w:tc>
          <w:tcPr>
            <w:tcW w:w="4531" w:type="dxa"/>
          </w:tcPr>
          <w:p w14:paraId="65A49E9C" w14:textId="646C60A3" w:rsidR="00DB2E58" w:rsidRPr="0004017D" w:rsidRDefault="00C35967" w:rsidP="0004017D">
            <w:pPr>
              <w:jc w:val="right"/>
              <w:rPr>
                <w:rFonts w:ascii="Calibri" w:hAnsi="Calibri" w:cs="Calibri"/>
                <w:color w:val="000000"/>
                <w:sz w:val="24"/>
                <w:szCs w:val="24"/>
              </w:rPr>
            </w:pPr>
            <w:r>
              <w:rPr>
                <w:rFonts w:ascii="Calibri" w:hAnsi="Calibri" w:cs="Calibri"/>
                <w:color w:val="000000"/>
                <w:sz w:val="24"/>
                <w:szCs w:val="24"/>
              </w:rPr>
              <w:t>60.000,00</w:t>
            </w:r>
          </w:p>
        </w:tc>
      </w:tr>
      <w:tr w:rsidR="00D234FA" w:rsidRPr="001709A8" w14:paraId="1BD53646" w14:textId="77777777" w:rsidTr="00D234FA">
        <w:tc>
          <w:tcPr>
            <w:tcW w:w="4531" w:type="dxa"/>
          </w:tcPr>
          <w:p w14:paraId="161E15F7" w14:textId="73483E98" w:rsidR="00D234FA" w:rsidRDefault="00C35967" w:rsidP="00103EB1">
            <w:pPr>
              <w:rPr>
                <w:sz w:val="24"/>
                <w:szCs w:val="24"/>
              </w:rPr>
            </w:pPr>
            <w:r>
              <w:rPr>
                <w:sz w:val="24"/>
                <w:szCs w:val="24"/>
              </w:rPr>
              <w:t>CSU</w:t>
            </w:r>
          </w:p>
        </w:tc>
        <w:tc>
          <w:tcPr>
            <w:tcW w:w="4531" w:type="dxa"/>
          </w:tcPr>
          <w:p w14:paraId="1B3D5AE8" w14:textId="08BE9615" w:rsidR="00D234FA" w:rsidRPr="0004017D" w:rsidRDefault="00C35967" w:rsidP="00103EB1">
            <w:pPr>
              <w:jc w:val="right"/>
              <w:rPr>
                <w:rFonts w:ascii="Calibri" w:hAnsi="Calibri" w:cs="Calibri"/>
                <w:color w:val="000000"/>
                <w:sz w:val="24"/>
                <w:szCs w:val="24"/>
              </w:rPr>
            </w:pPr>
            <w:r>
              <w:rPr>
                <w:rFonts w:ascii="Calibri" w:hAnsi="Calibri" w:cs="Calibri"/>
                <w:color w:val="000000"/>
                <w:sz w:val="24"/>
                <w:szCs w:val="24"/>
              </w:rPr>
              <w:t>50.000,00</w:t>
            </w:r>
          </w:p>
        </w:tc>
      </w:tr>
      <w:tr w:rsidR="008D212C" w:rsidRPr="008D212C" w14:paraId="70F0D037" w14:textId="77777777" w:rsidTr="00D234FA">
        <w:tc>
          <w:tcPr>
            <w:tcW w:w="4531" w:type="dxa"/>
          </w:tcPr>
          <w:p w14:paraId="53E116CF" w14:textId="01653925" w:rsidR="008D212C" w:rsidRPr="006F52BB" w:rsidRDefault="008D212C" w:rsidP="00103EB1">
            <w:pPr>
              <w:rPr>
                <w:b/>
                <w:sz w:val="24"/>
                <w:szCs w:val="24"/>
              </w:rPr>
            </w:pPr>
            <w:r w:rsidRPr="006F52BB">
              <w:rPr>
                <w:b/>
                <w:sz w:val="24"/>
                <w:szCs w:val="24"/>
              </w:rPr>
              <w:t>SUMME</w:t>
            </w:r>
          </w:p>
        </w:tc>
        <w:tc>
          <w:tcPr>
            <w:tcW w:w="4531" w:type="dxa"/>
          </w:tcPr>
          <w:p w14:paraId="7D34E2E1" w14:textId="541425F8" w:rsidR="008D212C" w:rsidRPr="00C50392" w:rsidRDefault="00C35967" w:rsidP="0004017D">
            <w:pPr>
              <w:jc w:val="right"/>
              <w:rPr>
                <w:rFonts w:ascii="Calibri" w:hAnsi="Calibri" w:cs="Calibri"/>
                <w:b/>
                <w:bCs/>
                <w:color w:val="000000"/>
              </w:rPr>
            </w:pPr>
            <w:r w:rsidRPr="00C35967">
              <w:rPr>
                <w:rFonts w:ascii="Calibri" w:hAnsi="Calibri" w:cs="Calibri"/>
                <w:b/>
                <w:bCs/>
                <w:color w:val="000000"/>
                <w:sz w:val="24"/>
                <w:szCs w:val="24"/>
              </w:rPr>
              <w:t>1.</w:t>
            </w:r>
            <w:r w:rsidR="00D91E83">
              <w:rPr>
                <w:rFonts w:ascii="Calibri" w:hAnsi="Calibri" w:cs="Calibri"/>
                <w:b/>
                <w:bCs/>
                <w:color w:val="000000"/>
                <w:sz w:val="24"/>
                <w:szCs w:val="24"/>
              </w:rPr>
              <w:t>1</w:t>
            </w:r>
            <w:r w:rsidR="00E8016C">
              <w:rPr>
                <w:rFonts w:ascii="Calibri" w:hAnsi="Calibri" w:cs="Calibri"/>
                <w:b/>
                <w:bCs/>
                <w:color w:val="000000"/>
                <w:sz w:val="24"/>
                <w:szCs w:val="24"/>
              </w:rPr>
              <w:t>0</w:t>
            </w:r>
            <w:r w:rsidR="00D91E83">
              <w:rPr>
                <w:rFonts w:ascii="Calibri" w:hAnsi="Calibri" w:cs="Calibri"/>
                <w:b/>
                <w:bCs/>
                <w:color w:val="000000"/>
                <w:sz w:val="24"/>
                <w:szCs w:val="24"/>
              </w:rPr>
              <w:t>0</w:t>
            </w:r>
            <w:r w:rsidRPr="00C35967">
              <w:rPr>
                <w:rFonts w:ascii="Calibri" w:hAnsi="Calibri" w:cs="Calibri"/>
                <w:b/>
                <w:bCs/>
                <w:color w:val="000000"/>
                <w:sz w:val="24"/>
                <w:szCs w:val="24"/>
              </w:rPr>
              <w:t>.000</w:t>
            </w:r>
            <w:r>
              <w:rPr>
                <w:rFonts w:ascii="Calibri" w:hAnsi="Calibri" w:cs="Calibri"/>
                <w:b/>
                <w:bCs/>
                <w:color w:val="000000"/>
                <w:sz w:val="24"/>
                <w:szCs w:val="24"/>
              </w:rPr>
              <w:t>,00</w:t>
            </w:r>
          </w:p>
        </w:tc>
      </w:tr>
    </w:tbl>
    <w:p w14:paraId="4561BACF" w14:textId="28828EB3" w:rsidR="00164594" w:rsidRPr="00AE79F0" w:rsidRDefault="00942714">
      <w:pPr>
        <w:rPr>
          <w:b/>
          <w:bCs/>
        </w:rPr>
      </w:pPr>
      <w:r w:rsidRPr="00AE79F0">
        <w:rPr>
          <w:b/>
          <w:bCs/>
        </w:rPr>
        <w:t>Zum Vergleich – Gesamtgroßspenden an Parteien 2024</w:t>
      </w:r>
      <w:r w:rsidR="003F470F">
        <w:rPr>
          <w:b/>
          <w:bCs/>
        </w:rPr>
        <w:t xml:space="preserve"> laut </w:t>
      </w:r>
      <w:proofErr w:type="spellStart"/>
      <w:r w:rsidR="003F470F">
        <w:rPr>
          <w:b/>
          <w:bCs/>
        </w:rPr>
        <w:t>statista</w:t>
      </w:r>
      <w:proofErr w:type="spellEnd"/>
      <w:r w:rsidRPr="00AE79F0">
        <w:rPr>
          <w:b/>
          <w:bCs/>
        </w:rPr>
        <w:t>:</w:t>
      </w:r>
      <w:r w:rsidR="00AE79F0" w:rsidRPr="00AE79F0">
        <w:rPr>
          <w:b/>
          <w:bCs/>
        </w:rPr>
        <w:t xml:space="preserve"> </w:t>
      </w:r>
      <w:r w:rsidR="00AE79F0" w:rsidRPr="00AE79F0">
        <w:rPr>
          <w:b/>
          <w:bCs/>
        </w:rPr>
        <w:t>18.664.968,14</w:t>
      </w:r>
      <w:r w:rsidR="00AE79F0" w:rsidRPr="00AE79F0">
        <w:rPr>
          <w:b/>
          <w:bCs/>
        </w:rPr>
        <w:t>€ (</w:t>
      </w:r>
      <w:r w:rsidR="00AE79F0">
        <w:rPr>
          <w:b/>
          <w:bCs/>
        </w:rPr>
        <w:t xml:space="preserve">Anteil Immo-Lobby </w:t>
      </w:r>
      <w:r w:rsidR="00AE79F0" w:rsidRPr="00AE79F0">
        <w:rPr>
          <w:b/>
          <w:bCs/>
        </w:rPr>
        <w:t>ca. 1/18</w:t>
      </w:r>
      <w:r w:rsidR="003F470F">
        <w:rPr>
          <w:b/>
          <w:bCs/>
        </w:rPr>
        <w:t xml:space="preserve"> od. 5,6%</w:t>
      </w:r>
      <w:r w:rsidR="00AE79F0" w:rsidRPr="00AE79F0">
        <w:rPr>
          <w:b/>
          <w:bCs/>
        </w:rPr>
        <w:t>)</w:t>
      </w:r>
      <w:r w:rsidR="003F470F">
        <w:rPr>
          <w:b/>
          <w:bCs/>
        </w:rPr>
        <w:t xml:space="preserve"> </w:t>
      </w:r>
      <w:r w:rsidRPr="00AE79F0">
        <w:rPr>
          <w:b/>
          <w:bCs/>
        </w:rPr>
        <w:br/>
      </w:r>
    </w:p>
    <w:p w14:paraId="3E7001A5" w14:textId="604C3EF6" w:rsidR="00164594" w:rsidRPr="00164594" w:rsidRDefault="00164594">
      <w:pPr>
        <w:rPr>
          <w:b/>
          <w:bCs/>
        </w:rPr>
      </w:pPr>
      <w:r w:rsidRPr="00164594">
        <w:rPr>
          <w:b/>
          <w:bCs/>
          <w:sz w:val="24"/>
          <w:szCs w:val="24"/>
        </w:rPr>
        <w:t>Spenden aus der Immobilienlobby nach Parteien im Wahlkampf 2024/25 (ab dem Aus der Ampel am 06.11.2024 bis zum Wahltag)</w:t>
      </w:r>
    </w:p>
    <w:tbl>
      <w:tblPr>
        <w:tblStyle w:val="Tabellenraster"/>
        <w:tblW w:w="0" w:type="auto"/>
        <w:tblLook w:val="04A0" w:firstRow="1" w:lastRow="0" w:firstColumn="1" w:lastColumn="0" w:noHBand="0" w:noVBand="1"/>
      </w:tblPr>
      <w:tblGrid>
        <w:gridCol w:w="4531"/>
        <w:gridCol w:w="4531"/>
      </w:tblGrid>
      <w:tr w:rsidR="00D34321" w:rsidRPr="001709A8" w14:paraId="073BBE2C" w14:textId="77777777" w:rsidTr="00D34321">
        <w:tc>
          <w:tcPr>
            <w:tcW w:w="4531" w:type="dxa"/>
          </w:tcPr>
          <w:p w14:paraId="37AABA61" w14:textId="77777777" w:rsidR="00D34321" w:rsidRPr="001709A8" w:rsidRDefault="00D34321" w:rsidP="008A249E">
            <w:pPr>
              <w:rPr>
                <w:b/>
                <w:bCs/>
                <w:sz w:val="24"/>
                <w:szCs w:val="24"/>
              </w:rPr>
            </w:pPr>
            <w:r w:rsidRPr="001709A8">
              <w:rPr>
                <w:b/>
                <w:bCs/>
                <w:sz w:val="24"/>
                <w:szCs w:val="24"/>
              </w:rPr>
              <w:t>Partei</w:t>
            </w:r>
          </w:p>
        </w:tc>
        <w:tc>
          <w:tcPr>
            <w:tcW w:w="4531" w:type="dxa"/>
          </w:tcPr>
          <w:p w14:paraId="2BBCDB74" w14:textId="136B6AC9" w:rsidR="00E8016C" w:rsidRPr="001709A8" w:rsidRDefault="00164594" w:rsidP="00164594">
            <w:pPr>
              <w:jc w:val="right"/>
              <w:rPr>
                <w:b/>
                <w:bCs/>
                <w:sz w:val="24"/>
                <w:szCs w:val="24"/>
              </w:rPr>
            </w:pPr>
            <w:r>
              <w:rPr>
                <w:b/>
                <w:bCs/>
                <w:sz w:val="24"/>
                <w:szCs w:val="24"/>
              </w:rPr>
              <w:t>Spendensumme in Euro</w:t>
            </w:r>
          </w:p>
        </w:tc>
      </w:tr>
      <w:tr w:rsidR="00D34321" w:rsidRPr="001709A8" w14:paraId="0DD3B7D5" w14:textId="77777777" w:rsidTr="00D34321">
        <w:tc>
          <w:tcPr>
            <w:tcW w:w="4531" w:type="dxa"/>
            <w:shd w:val="clear" w:color="auto" w:fill="E7E6E6" w:themeFill="background2"/>
          </w:tcPr>
          <w:p w14:paraId="19FB46F9" w14:textId="77777777" w:rsidR="00D34321" w:rsidRDefault="00D34321" w:rsidP="008A249E">
            <w:pPr>
              <w:rPr>
                <w:sz w:val="24"/>
                <w:szCs w:val="24"/>
              </w:rPr>
            </w:pPr>
            <w:r>
              <w:rPr>
                <w:sz w:val="24"/>
                <w:szCs w:val="24"/>
              </w:rPr>
              <w:t>CDU</w:t>
            </w:r>
          </w:p>
        </w:tc>
        <w:tc>
          <w:tcPr>
            <w:tcW w:w="4531" w:type="dxa"/>
            <w:shd w:val="clear" w:color="auto" w:fill="E7E6E6" w:themeFill="background2"/>
          </w:tcPr>
          <w:p w14:paraId="57DE7FA5" w14:textId="24017EFA" w:rsidR="00D34321" w:rsidRPr="001709A8" w:rsidRDefault="00E8016C" w:rsidP="008A249E">
            <w:pPr>
              <w:jc w:val="right"/>
              <w:rPr>
                <w:rFonts w:ascii="Calibri" w:hAnsi="Calibri" w:cs="Calibri"/>
                <w:color w:val="000000"/>
                <w:sz w:val="24"/>
                <w:szCs w:val="24"/>
              </w:rPr>
            </w:pPr>
            <w:r>
              <w:rPr>
                <w:rFonts w:ascii="Calibri" w:hAnsi="Calibri" w:cs="Calibri"/>
                <w:color w:val="000000"/>
                <w:sz w:val="24"/>
                <w:szCs w:val="24"/>
              </w:rPr>
              <w:t xml:space="preserve">740.000,00 </w:t>
            </w:r>
          </w:p>
        </w:tc>
      </w:tr>
      <w:tr w:rsidR="00D34321" w:rsidRPr="001709A8" w14:paraId="37207059" w14:textId="77777777" w:rsidTr="00D34321">
        <w:tc>
          <w:tcPr>
            <w:tcW w:w="4531" w:type="dxa"/>
          </w:tcPr>
          <w:p w14:paraId="0E402685" w14:textId="79EA8DC7" w:rsidR="00D34321" w:rsidRDefault="00A314D2" w:rsidP="008A249E">
            <w:pPr>
              <w:rPr>
                <w:sz w:val="24"/>
                <w:szCs w:val="24"/>
              </w:rPr>
            </w:pPr>
            <w:r>
              <w:rPr>
                <w:sz w:val="24"/>
                <w:szCs w:val="24"/>
              </w:rPr>
              <w:t>FDP</w:t>
            </w:r>
          </w:p>
        </w:tc>
        <w:tc>
          <w:tcPr>
            <w:tcW w:w="4531" w:type="dxa"/>
          </w:tcPr>
          <w:p w14:paraId="4E128260" w14:textId="6870F52A" w:rsidR="00D34321" w:rsidRPr="001709A8" w:rsidRDefault="00E8016C" w:rsidP="008A249E">
            <w:pPr>
              <w:jc w:val="right"/>
              <w:rPr>
                <w:rFonts w:ascii="Calibri" w:hAnsi="Calibri" w:cs="Calibri"/>
                <w:color w:val="000000"/>
                <w:sz w:val="24"/>
                <w:szCs w:val="24"/>
              </w:rPr>
            </w:pPr>
            <w:r>
              <w:rPr>
                <w:rFonts w:ascii="Calibri" w:hAnsi="Calibri" w:cs="Calibri"/>
                <w:color w:val="000000"/>
                <w:sz w:val="24"/>
                <w:szCs w:val="24"/>
              </w:rPr>
              <w:t xml:space="preserve"> 280.000,00 </w:t>
            </w:r>
          </w:p>
        </w:tc>
      </w:tr>
      <w:tr w:rsidR="00D34321" w:rsidRPr="001709A8" w14:paraId="1B0CE3F1" w14:textId="77777777" w:rsidTr="00D34321">
        <w:tc>
          <w:tcPr>
            <w:tcW w:w="4531" w:type="dxa"/>
          </w:tcPr>
          <w:p w14:paraId="7282C724" w14:textId="3465BA25" w:rsidR="00D34321" w:rsidRDefault="00A314D2" w:rsidP="008A249E">
            <w:pPr>
              <w:rPr>
                <w:sz w:val="24"/>
                <w:szCs w:val="24"/>
              </w:rPr>
            </w:pPr>
            <w:r>
              <w:rPr>
                <w:sz w:val="24"/>
                <w:szCs w:val="24"/>
              </w:rPr>
              <w:t>SPD</w:t>
            </w:r>
          </w:p>
        </w:tc>
        <w:tc>
          <w:tcPr>
            <w:tcW w:w="4531" w:type="dxa"/>
          </w:tcPr>
          <w:p w14:paraId="1E1EB4DA" w14:textId="27F4648C" w:rsidR="00D34321" w:rsidRPr="001709A8" w:rsidRDefault="00A314D2" w:rsidP="008A249E">
            <w:pPr>
              <w:jc w:val="right"/>
              <w:rPr>
                <w:rFonts w:ascii="Calibri" w:hAnsi="Calibri" w:cs="Calibri"/>
                <w:color w:val="000000"/>
                <w:sz w:val="24"/>
                <w:szCs w:val="24"/>
              </w:rPr>
            </w:pPr>
            <w:r>
              <w:rPr>
                <w:rFonts w:ascii="Calibri" w:hAnsi="Calibri" w:cs="Calibri"/>
                <w:color w:val="000000"/>
                <w:sz w:val="24"/>
                <w:szCs w:val="24"/>
              </w:rPr>
              <w:t>60</w:t>
            </w:r>
            <w:r w:rsidR="005A73D4">
              <w:rPr>
                <w:rFonts w:ascii="Calibri" w:hAnsi="Calibri" w:cs="Calibri"/>
                <w:color w:val="000000"/>
                <w:sz w:val="24"/>
                <w:szCs w:val="24"/>
              </w:rPr>
              <w:t>.000</w:t>
            </w:r>
            <w:r>
              <w:rPr>
                <w:rFonts w:ascii="Calibri" w:hAnsi="Calibri" w:cs="Calibri"/>
                <w:color w:val="000000"/>
                <w:sz w:val="24"/>
                <w:szCs w:val="24"/>
              </w:rPr>
              <w:t>,00</w:t>
            </w:r>
          </w:p>
        </w:tc>
      </w:tr>
      <w:tr w:rsidR="00D34321" w:rsidRPr="001709A8" w14:paraId="11A282FE" w14:textId="77777777" w:rsidTr="00D34321">
        <w:tc>
          <w:tcPr>
            <w:tcW w:w="4531" w:type="dxa"/>
          </w:tcPr>
          <w:p w14:paraId="589158BC" w14:textId="071F4B77" w:rsidR="00D34321" w:rsidRDefault="00A314D2" w:rsidP="008A249E">
            <w:pPr>
              <w:rPr>
                <w:sz w:val="24"/>
                <w:szCs w:val="24"/>
              </w:rPr>
            </w:pPr>
            <w:r>
              <w:rPr>
                <w:sz w:val="24"/>
                <w:szCs w:val="24"/>
              </w:rPr>
              <w:t>CSU</w:t>
            </w:r>
          </w:p>
        </w:tc>
        <w:tc>
          <w:tcPr>
            <w:tcW w:w="4531" w:type="dxa"/>
          </w:tcPr>
          <w:p w14:paraId="5B060960" w14:textId="7C510B16" w:rsidR="00D34321" w:rsidRPr="001709A8" w:rsidRDefault="00A314D2" w:rsidP="008A249E">
            <w:pPr>
              <w:jc w:val="right"/>
              <w:rPr>
                <w:sz w:val="24"/>
                <w:szCs w:val="24"/>
              </w:rPr>
            </w:pPr>
            <w:r>
              <w:rPr>
                <w:sz w:val="24"/>
                <w:szCs w:val="24"/>
              </w:rPr>
              <w:t>50.000,00</w:t>
            </w:r>
          </w:p>
        </w:tc>
      </w:tr>
      <w:tr w:rsidR="00D34321" w:rsidRPr="006F52BB" w14:paraId="617669E7" w14:textId="77777777" w:rsidTr="00D34321">
        <w:tc>
          <w:tcPr>
            <w:tcW w:w="4531" w:type="dxa"/>
          </w:tcPr>
          <w:p w14:paraId="5014BD68" w14:textId="77777777" w:rsidR="00D34321" w:rsidRPr="006F52BB" w:rsidRDefault="00D34321" w:rsidP="008A249E">
            <w:pPr>
              <w:rPr>
                <w:b/>
                <w:sz w:val="24"/>
                <w:szCs w:val="24"/>
              </w:rPr>
            </w:pPr>
            <w:r w:rsidRPr="006F52BB">
              <w:rPr>
                <w:b/>
                <w:sz w:val="24"/>
                <w:szCs w:val="24"/>
              </w:rPr>
              <w:t>SUMME</w:t>
            </w:r>
          </w:p>
        </w:tc>
        <w:tc>
          <w:tcPr>
            <w:tcW w:w="4531" w:type="dxa"/>
          </w:tcPr>
          <w:p w14:paraId="46B323EF" w14:textId="0A042ED3" w:rsidR="00D34321" w:rsidRPr="006F52BB" w:rsidRDefault="00A314D2" w:rsidP="008A249E">
            <w:pPr>
              <w:jc w:val="right"/>
              <w:rPr>
                <w:rFonts w:ascii="Calibri" w:hAnsi="Calibri" w:cs="Calibri"/>
                <w:b/>
                <w:color w:val="000000"/>
                <w:sz w:val="24"/>
                <w:szCs w:val="24"/>
              </w:rPr>
            </w:pPr>
            <w:r>
              <w:rPr>
                <w:rFonts w:ascii="Calibri" w:hAnsi="Calibri" w:cs="Calibri"/>
                <w:b/>
                <w:color w:val="000000"/>
                <w:sz w:val="24"/>
                <w:szCs w:val="24"/>
              </w:rPr>
              <w:t>1.1</w:t>
            </w:r>
            <w:r w:rsidR="00E8016C">
              <w:rPr>
                <w:rFonts w:ascii="Calibri" w:hAnsi="Calibri" w:cs="Calibri"/>
                <w:b/>
                <w:color w:val="000000"/>
                <w:sz w:val="24"/>
                <w:szCs w:val="24"/>
              </w:rPr>
              <w:t>3</w:t>
            </w:r>
            <w:r>
              <w:rPr>
                <w:rFonts w:ascii="Calibri" w:hAnsi="Calibri" w:cs="Calibri"/>
                <w:b/>
                <w:color w:val="000000"/>
                <w:sz w:val="24"/>
                <w:szCs w:val="24"/>
              </w:rPr>
              <w:t>0.000,00</w:t>
            </w:r>
          </w:p>
        </w:tc>
      </w:tr>
    </w:tbl>
    <w:p w14:paraId="46E32D0F" w14:textId="26ED7E3B" w:rsidR="003D718F" w:rsidRPr="00AE79F0" w:rsidRDefault="00942714">
      <w:pPr>
        <w:rPr>
          <w:b/>
          <w:bCs/>
        </w:rPr>
      </w:pPr>
      <w:r w:rsidRPr="00AE79F0">
        <w:rPr>
          <w:b/>
          <w:bCs/>
        </w:rPr>
        <w:t>Zum Vergleich – Gesamtgroßspenden an Parteien im Wahlkampf</w:t>
      </w:r>
      <w:r w:rsidR="003F470F">
        <w:rPr>
          <w:b/>
          <w:bCs/>
        </w:rPr>
        <w:t xml:space="preserve"> laut </w:t>
      </w:r>
      <w:proofErr w:type="spellStart"/>
      <w:r w:rsidR="003F470F">
        <w:rPr>
          <w:b/>
          <w:bCs/>
        </w:rPr>
        <w:t>statista</w:t>
      </w:r>
      <w:proofErr w:type="spellEnd"/>
      <w:r w:rsidRPr="00AE79F0">
        <w:rPr>
          <w:b/>
          <w:bCs/>
        </w:rPr>
        <w:t>:</w:t>
      </w:r>
      <w:r w:rsidR="00AE79F0" w:rsidRPr="00AE79F0">
        <w:rPr>
          <w:b/>
          <w:bCs/>
        </w:rPr>
        <w:t xml:space="preserve"> </w:t>
      </w:r>
      <w:r w:rsidR="00BF61E8">
        <w:rPr>
          <w:b/>
          <w:bCs/>
        </w:rPr>
        <w:t xml:space="preserve">rund </w:t>
      </w:r>
      <w:r w:rsidR="00AE79F0" w:rsidRPr="00AE79F0">
        <w:rPr>
          <w:b/>
          <w:bCs/>
        </w:rPr>
        <w:t>24,2 Mio. € (</w:t>
      </w:r>
      <w:r w:rsidR="00AE79F0">
        <w:rPr>
          <w:b/>
          <w:bCs/>
        </w:rPr>
        <w:t xml:space="preserve">Anteil Immo-Lobby </w:t>
      </w:r>
      <w:r w:rsidR="00AE79F0" w:rsidRPr="00AE79F0">
        <w:rPr>
          <w:b/>
          <w:bCs/>
        </w:rPr>
        <w:t>ca. 1/24</w:t>
      </w:r>
      <w:r w:rsidR="003F470F">
        <w:rPr>
          <w:b/>
          <w:bCs/>
        </w:rPr>
        <w:t xml:space="preserve"> od. 4,2%</w:t>
      </w:r>
      <w:r w:rsidR="00AE79F0" w:rsidRPr="00AE79F0">
        <w:rPr>
          <w:b/>
          <w:bCs/>
        </w:rPr>
        <w:t xml:space="preserve">) </w:t>
      </w:r>
      <w:r w:rsidRPr="00AE79F0">
        <w:rPr>
          <w:b/>
          <w:bCs/>
        </w:rPr>
        <w:br/>
      </w:r>
    </w:p>
    <w:p w14:paraId="2217C497" w14:textId="3A6045A5" w:rsidR="003D718F" w:rsidRPr="003D718F" w:rsidRDefault="003D718F">
      <w:pPr>
        <w:rPr>
          <w:b/>
          <w:bCs/>
          <w:sz w:val="24"/>
          <w:szCs w:val="24"/>
        </w:rPr>
      </w:pPr>
      <w:r w:rsidRPr="003D718F">
        <w:rPr>
          <w:b/>
          <w:bCs/>
          <w:sz w:val="24"/>
          <w:szCs w:val="24"/>
        </w:rPr>
        <w:t>Bisherige Spenden aus der Immobilienlobby nach Parteien im Jahr 2025</w:t>
      </w:r>
    </w:p>
    <w:tbl>
      <w:tblPr>
        <w:tblStyle w:val="Tabellenraster"/>
        <w:tblW w:w="0" w:type="auto"/>
        <w:tblLook w:val="04A0" w:firstRow="1" w:lastRow="0" w:firstColumn="1" w:lastColumn="0" w:noHBand="0" w:noVBand="1"/>
      </w:tblPr>
      <w:tblGrid>
        <w:gridCol w:w="4531"/>
        <w:gridCol w:w="4531"/>
      </w:tblGrid>
      <w:tr w:rsidR="00281191" w:rsidRPr="006F52BB" w14:paraId="05384E9F" w14:textId="77777777" w:rsidTr="00D34321">
        <w:tc>
          <w:tcPr>
            <w:tcW w:w="4531" w:type="dxa"/>
          </w:tcPr>
          <w:p w14:paraId="2A0D9F6F" w14:textId="5A4A789C" w:rsidR="00281191" w:rsidRPr="006F52BB" w:rsidRDefault="00281191" w:rsidP="008A249E">
            <w:pPr>
              <w:rPr>
                <w:b/>
                <w:sz w:val="24"/>
                <w:szCs w:val="24"/>
              </w:rPr>
            </w:pPr>
            <w:r>
              <w:rPr>
                <w:b/>
                <w:sz w:val="24"/>
                <w:szCs w:val="24"/>
              </w:rPr>
              <w:t>Partei</w:t>
            </w:r>
          </w:p>
        </w:tc>
        <w:tc>
          <w:tcPr>
            <w:tcW w:w="4531" w:type="dxa"/>
          </w:tcPr>
          <w:p w14:paraId="67AA241D" w14:textId="00707AAA" w:rsidR="00281191" w:rsidRDefault="003D718F" w:rsidP="003D718F">
            <w:pPr>
              <w:jc w:val="right"/>
              <w:rPr>
                <w:rFonts w:ascii="Calibri" w:hAnsi="Calibri" w:cs="Calibri"/>
                <w:b/>
                <w:color w:val="000000"/>
                <w:sz w:val="24"/>
                <w:szCs w:val="24"/>
              </w:rPr>
            </w:pPr>
            <w:r>
              <w:rPr>
                <w:rFonts w:ascii="Calibri" w:hAnsi="Calibri" w:cs="Calibri"/>
                <w:b/>
                <w:color w:val="000000"/>
                <w:sz w:val="24"/>
                <w:szCs w:val="24"/>
              </w:rPr>
              <w:t>Spendensumme in Euro</w:t>
            </w:r>
            <w:r w:rsidR="00281191">
              <w:rPr>
                <w:rFonts w:ascii="Calibri" w:hAnsi="Calibri" w:cs="Calibri"/>
                <w:b/>
                <w:color w:val="000000"/>
                <w:sz w:val="24"/>
                <w:szCs w:val="24"/>
              </w:rPr>
              <w:t xml:space="preserve"> </w:t>
            </w:r>
          </w:p>
        </w:tc>
      </w:tr>
      <w:tr w:rsidR="00281191" w:rsidRPr="006F52BB" w14:paraId="25E78881" w14:textId="77777777" w:rsidTr="00281191">
        <w:tc>
          <w:tcPr>
            <w:tcW w:w="4531" w:type="dxa"/>
            <w:shd w:val="clear" w:color="auto" w:fill="E7E6E6" w:themeFill="background2"/>
          </w:tcPr>
          <w:p w14:paraId="0ED6D86B" w14:textId="39B85357" w:rsidR="00281191" w:rsidRPr="00281191" w:rsidRDefault="00281191" w:rsidP="00281191">
            <w:pPr>
              <w:jc w:val="both"/>
              <w:rPr>
                <w:bCs/>
                <w:sz w:val="24"/>
                <w:szCs w:val="24"/>
              </w:rPr>
            </w:pPr>
            <w:r>
              <w:rPr>
                <w:bCs/>
                <w:sz w:val="24"/>
                <w:szCs w:val="24"/>
              </w:rPr>
              <w:t>CDU</w:t>
            </w:r>
          </w:p>
        </w:tc>
        <w:tc>
          <w:tcPr>
            <w:tcW w:w="4531" w:type="dxa"/>
            <w:shd w:val="clear" w:color="auto" w:fill="E7E6E6" w:themeFill="background2"/>
          </w:tcPr>
          <w:p w14:paraId="63393D0A" w14:textId="7C4A4692" w:rsidR="00281191" w:rsidRPr="00281191" w:rsidRDefault="00281191" w:rsidP="00281191">
            <w:pPr>
              <w:jc w:val="right"/>
              <w:rPr>
                <w:rFonts w:ascii="Calibri" w:hAnsi="Calibri" w:cs="Calibri"/>
                <w:bCs/>
                <w:color w:val="000000"/>
                <w:sz w:val="24"/>
                <w:szCs w:val="24"/>
              </w:rPr>
            </w:pPr>
            <w:r>
              <w:rPr>
                <w:rFonts w:ascii="Calibri" w:hAnsi="Calibri" w:cs="Calibri"/>
                <w:bCs/>
                <w:color w:val="000000"/>
                <w:sz w:val="24"/>
                <w:szCs w:val="24"/>
              </w:rPr>
              <w:t>733.000,00</w:t>
            </w:r>
          </w:p>
        </w:tc>
      </w:tr>
      <w:tr w:rsidR="00281191" w:rsidRPr="006F52BB" w14:paraId="617956C9" w14:textId="77777777" w:rsidTr="00D34321">
        <w:tc>
          <w:tcPr>
            <w:tcW w:w="4531" w:type="dxa"/>
          </w:tcPr>
          <w:p w14:paraId="3E21610B" w14:textId="4EEB6259" w:rsidR="00281191" w:rsidRDefault="00281191" w:rsidP="00281191">
            <w:pPr>
              <w:jc w:val="both"/>
              <w:rPr>
                <w:bCs/>
                <w:sz w:val="24"/>
                <w:szCs w:val="24"/>
              </w:rPr>
            </w:pPr>
            <w:r>
              <w:rPr>
                <w:bCs/>
                <w:sz w:val="24"/>
                <w:szCs w:val="24"/>
              </w:rPr>
              <w:t>FDP</w:t>
            </w:r>
          </w:p>
        </w:tc>
        <w:tc>
          <w:tcPr>
            <w:tcW w:w="4531" w:type="dxa"/>
          </w:tcPr>
          <w:p w14:paraId="2194B891" w14:textId="7BE72C43" w:rsidR="00281191" w:rsidRPr="00281191" w:rsidRDefault="00281191" w:rsidP="00281191">
            <w:pPr>
              <w:jc w:val="right"/>
              <w:rPr>
                <w:rFonts w:ascii="Calibri" w:hAnsi="Calibri" w:cs="Calibri"/>
                <w:bCs/>
                <w:color w:val="000000"/>
                <w:sz w:val="24"/>
                <w:szCs w:val="24"/>
              </w:rPr>
            </w:pPr>
            <w:r>
              <w:rPr>
                <w:rFonts w:ascii="Calibri" w:hAnsi="Calibri" w:cs="Calibri"/>
                <w:bCs/>
                <w:color w:val="000000"/>
                <w:sz w:val="24"/>
                <w:szCs w:val="24"/>
              </w:rPr>
              <w:t>140.000,00</w:t>
            </w:r>
          </w:p>
        </w:tc>
      </w:tr>
      <w:tr w:rsidR="00281191" w:rsidRPr="006F52BB" w14:paraId="0856906B" w14:textId="77777777" w:rsidTr="00D34321">
        <w:tc>
          <w:tcPr>
            <w:tcW w:w="4531" w:type="dxa"/>
          </w:tcPr>
          <w:p w14:paraId="7EAC9F5F" w14:textId="597780C7" w:rsidR="00281191" w:rsidRDefault="00281191" w:rsidP="00281191">
            <w:pPr>
              <w:jc w:val="both"/>
              <w:rPr>
                <w:bCs/>
                <w:sz w:val="24"/>
                <w:szCs w:val="24"/>
              </w:rPr>
            </w:pPr>
            <w:r>
              <w:rPr>
                <w:bCs/>
                <w:sz w:val="24"/>
                <w:szCs w:val="24"/>
              </w:rPr>
              <w:t>CSU</w:t>
            </w:r>
          </w:p>
        </w:tc>
        <w:tc>
          <w:tcPr>
            <w:tcW w:w="4531" w:type="dxa"/>
          </w:tcPr>
          <w:p w14:paraId="3F6B0974" w14:textId="2200FCB9" w:rsidR="00281191" w:rsidRPr="00281191" w:rsidRDefault="00281191" w:rsidP="00281191">
            <w:pPr>
              <w:jc w:val="right"/>
              <w:rPr>
                <w:rFonts w:ascii="Calibri" w:hAnsi="Calibri" w:cs="Calibri"/>
                <w:bCs/>
                <w:color w:val="000000"/>
                <w:sz w:val="24"/>
                <w:szCs w:val="24"/>
              </w:rPr>
            </w:pPr>
            <w:r>
              <w:rPr>
                <w:rFonts w:ascii="Calibri" w:hAnsi="Calibri" w:cs="Calibri"/>
                <w:bCs/>
                <w:color w:val="000000"/>
                <w:sz w:val="24"/>
                <w:szCs w:val="24"/>
              </w:rPr>
              <w:t>50.000,00</w:t>
            </w:r>
          </w:p>
        </w:tc>
      </w:tr>
      <w:tr w:rsidR="00281191" w:rsidRPr="006F52BB" w14:paraId="3886479A" w14:textId="77777777" w:rsidTr="00D34321">
        <w:tc>
          <w:tcPr>
            <w:tcW w:w="4531" w:type="dxa"/>
          </w:tcPr>
          <w:p w14:paraId="129666E6" w14:textId="25A16F80" w:rsidR="00281191" w:rsidRPr="00281191" w:rsidRDefault="00281191" w:rsidP="00281191">
            <w:pPr>
              <w:rPr>
                <w:b/>
                <w:sz w:val="24"/>
                <w:szCs w:val="24"/>
              </w:rPr>
            </w:pPr>
            <w:r>
              <w:rPr>
                <w:b/>
                <w:sz w:val="24"/>
                <w:szCs w:val="24"/>
              </w:rPr>
              <w:t>SUMME</w:t>
            </w:r>
          </w:p>
        </w:tc>
        <w:tc>
          <w:tcPr>
            <w:tcW w:w="4531" w:type="dxa"/>
          </w:tcPr>
          <w:p w14:paraId="2EF64372" w14:textId="358F1973" w:rsidR="00281191" w:rsidRPr="00281191" w:rsidRDefault="00281191" w:rsidP="00281191">
            <w:pPr>
              <w:jc w:val="right"/>
              <w:rPr>
                <w:rFonts w:ascii="Calibri" w:hAnsi="Calibri" w:cs="Calibri"/>
                <w:b/>
                <w:color w:val="000000"/>
                <w:sz w:val="24"/>
                <w:szCs w:val="24"/>
              </w:rPr>
            </w:pPr>
            <w:r>
              <w:rPr>
                <w:rFonts w:ascii="Calibri" w:hAnsi="Calibri" w:cs="Calibri"/>
                <w:b/>
                <w:color w:val="000000"/>
                <w:sz w:val="24"/>
                <w:szCs w:val="24"/>
              </w:rPr>
              <w:t>923.000,00</w:t>
            </w:r>
          </w:p>
        </w:tc>
      </w:tr>
    </w:tbl>
    <w:p w14:paraId="79CDD95F" w14:textId="672D9E5C" w:rsidR="00140C58" w:rsidRDefault="00942714">
      <w:pPr>
        <w:rPr>
          <w:b/>
          <w:bCs/>
        </w:rPr>
      </w:pPr>
      <w:r w:rsidRPr="00BF61E8">
        <w:rPr>
          <w:b/>
          <w:bCs/>
        </w:rPr>
        <w:t>Zum Vergleich – Bisherige Gesamtgroßspenden an Parteien 2025</w:t>
      </w:r>
      <w:r w:rsidR="00AE79F0" w:rsidRPr="00BF61E8">
        <w:rPr>
          <w:b/>
          <w:bCs/>
        </w:rPr>
        <w:t>, Stand 9.7.</w:t>
      </w:r>
      <w:r w:rsidR="003F470F">
        <w:rPr>
          <w:b/>
          <w:bCs/>
        </w:rPr>
        <w:t xml:space="preserve"> laust </w:t>
      </w:r>
      <w:proofErr w:type="spellStart"/>
      <w:r w:rsidR="003F470F">
        <w:rPr>
          <w:b/>
          <w:bCs/>
        </w:rPr>
        <w:t>statista</w:t>
      </w:r>
      <w:proofErr w:type="spellEnd"/>
      <w:r w:rsidRPr="00BF61E8">
        <w:rPr>
          <w:b/>
          <w:bCs/>
        </w:rPr>
        <w:t>:</w:t>
      </w:r>
      <w:r w:rsidR="00AE79F0" w:rsidRPr="00BF61E8">
        <w:rPr>
          <w:b/>
          <w:bCs/>
        </w:rPr>
        <w:t xml:space="preserve"> </w:t>
      </w:r>
      <w:r w:rsidR="00BF61E8" w:rsidRPr="00BF61E8">
        <w:rPr>
          <w:b/>
          <w:bCs/>
        </w:rPr>
        <w:t>rund 20,5 Mio. € (Anteil Immo-Lobby ca. 1/20</w:t>
      </w:r>
      <w:r w:rsidR="003F470F">
        <w:rPr>
          <w:b/>
          <w:bCs/>
        </w:rPr>
        <w:t xml:space="preserve"> od. 5%</w:t>
      </w:r>
      <w:r w:rsidR="00BF61E8" w:rsidRPr="00BF61E8">
        <w:rPr>
          <w:b/>
          <w:bCs/>
        </w:rPr>
        <w:t>)</w:t>
      </w:r>
      <w:r w:rsidRPr="00BF61E8">
        <w:rPr>
          <w:b/>
          <w:bCs/>
        </w:rPr>
        <w:br/>
      </w:r>
    </w:p>
    <w:p w14:paraId="31F9BDF6" w14:textId="2DCBF5D9" w:rsidR="00FE11E5" w:rsidRPr="00BF61E8" w:rsidRDefault="00FE11E5">
      <w:pPr>
        <w:rPr>
          <w:b/>
          <w:bCs/>
        </w:rPr>
      </w:pPr>
      <w:r>
        <w:rPr>
          <w:b/>
          <w:bCs/>
        </w:rPr>
        <w:t>Zum Vergleich: Der Anteil das Baugewerbes an der Bruttowertschöpfung betrug 2024 5,4%.</w:t>
      </w:r>
    </w:p>
    <w:p w14:paraId="3AF06395" w14:textId="7DC41FD7" w:rsidR="00685F56" w:rsidRDefault="0075074C">
      <w:pPr>
        <w:rPr>
          <w:sz w:val="24"/>
          <w:szCs w:val="24"/>
        </w:rPr>
      </w:pPr>
      <w:r>
        <w:rPr>
          <w:sz w:val="24"/>
          <w:szCs w:val="24"/>
        </w:rPr>
        <w:t xml:space="preserve">Seit dem Aus der Ampel am 6. November 2024 ist die Spendenbereitschaft auch in der Immobilienbranche buchstäblich in die Höhe geschossen. Ganz deutlich wird, welche Parteien die Lobby favorisiert. Unangefochten auf Platz 1 der Wahlkampfspenden steht – wie eigentlich immer – die CDU, die 740.000€ kassierte. Es folgt, trotz oder vielleicht auch wegen der Absehbaren Wahlniederlage dieser Partei die FDP, die 140.000€ erhielt. </w:t>
      </w:r>
      <w:r w:rsidR="00A903EB">
        <w:rPr>
          <w:sz w:val="24"/>
          <w:szCs w:val="24"/>
        </w:rPr>
        <w:t>SPD und CSU bekamen immerhin noch 60.000 bzw. 50.000€ überwiesen. Damit spendierte die Immobilienlobby insgesamt 1.130.000€ allein im Wahlkampf. Das ist etwas mehr als im gesamten Jahr 2024, in dem 1.100.000€ zusammengekommen. In 2025 gingen insgesamt bisher 923.000€ ein. Auch hier führt die CDU deutlich mit 733.000€, es folgen FDP mit 140.000€ und CSU mit 50.000€. Die Immobilienlobby kann sich also sicher sein, dass sie weiterhin die Politik bekommt, die sie will – zulasten der Mieter*innen, die sich schon jetzt kaum noch eine Wohnung in einer deutschen Großstadt leisten können.</w:t>
      </w:r>
    </w:p>
    <w:p w14:paraId="5BC696AB" w14:textId="58ABD996" w:rsidR="00A903EB" w:rsidRPr="00140C58" w:rsidRDefault="00A903EB">
      <w:pPr>
        <w:rPr>
          <w:sz w:val="24"/>
          <w:szCs w:val="24"/>
        </w:rPr>
      </w:pPr>
      <w:r>
        <w:rPr>
          <w:sz w:val="24"/>
          <w:szCs w:val="24"/>
        </w:rPr>
        <w:lastRenderedPageBreak/>
        <w:t>Auffällig ist, dass sowohl CDU, als auch FDP in der vergangenen Wahlperiode (Wahlkämpfe ´21 und ´25 inkludiert) jeweils fast die Hälfte aller Spenden eingenommen haben, die sie seit dem Jahr 2000 insgesamt bekommen haben. Das zeigt: die Immo-Lobby wird spendierfreudiger und ist interessiert daran, dass es politisch genauso weitergeht wie bisher.</w:t>
      </w:r>
      <w:r w:rsidR="00FE11E5">
        <w:rPr>
          <w:sz w:val="24"/>
          <w:szCs w:val="24"/>
        </w:rPr>
        <w:t xml:space="preserve"> Dabei liegt der Anteil von Spenden aus der Immobilienwirtschaft an den Gesamtgroßspenden bei ca. 5%. </w:t>
      </w:r>
    </w:p>
    <w:sectPr w:rsidR="00A903EB" w:rsidRPr="00140C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85009" w14:textId="77777777" w:rsidR="00FB0348" w:rsidRDefault="00FB0348" w:rsidP="008D212C">
      <w:pPr>
        <w:spacing w:after="0" w:line="240" w:lineRule="auto"/>
      </w:pPr>
      <w:r>
        <w:separator/>
      </w:r>
    </w:p>
  </w:endnote>
  <w:endnote w:type="continuationSeparator" w:id="0">
    <w:p w14:paraId="597658FB" w14:textId="77777777" w:rsidR="00FB0348" w:rsidRDefault="00FB0348" w:rsidP="008D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96FEB" w14:textId="77777777" w:rsidR="00FB0348" w:rsidRDefault="00FB0348" w:rsidP="008D212C">
      <w:pPr>
        <w:spacing w:after="0" w:line="240" w:lineRule="auto"/>
      </w:pPr>
      <w:r>
        <w:separator/>
      </w:r>
    </w:p>
  </w:footnote>
  <w:footnote w:type="continuationSeparator" w:id="0">
    <w:p w14:paraId="26380570" w14:textId="77777777" w:rsidR="00FB0348" w:rsidRDefault="00FB0348" w:rsidP="008D212C">
      <w:pPr>
        <w:spacing w:after="0" w:line="240" w:lineRule="auto"/>
      </w:pPr>
      <w:r>
        <w:continuationSeparator/>
      </w:r>
    </w:p>
  </w:footnote>
  <w:footnote w:id="1">
    <w:p w14:paraId="0D118183" w14:textId="77777777" w:rsidR="0010514A" w:rsidRPr="0010514A" w:rsidRDefault="0010514A" w:rsidP="0010514A">
      <w:pPr>
        <w:rPr>
          <w:rFonts w:ascii="Calibri" w:eastAsia="Times New Roman" w:hAnsi="Calibri" w:cs="Calibri"/>
          <w:b/>
          <w:color w:val="000000"/>
          <w:sz w:val="20"/>
          <w:szCs w:val="20"/>
          <w:lang w:eastAsia="de-DE"/>
        </w:rPr>
      </w:pPr>
      <w:r w:rsidRPr="0010514A">
        <w:rPr>
          <w:rStyle w:val="Funotenzeichen"/>
          <w:sz w:val="20"/>
          <w:szCs w:val="20"/>
        </w:rPr>
        <w:footnoteRef/>
      </w:r>
      <w:r w:rsidRPr="0010514A">
        <w:rPr>
          <w:sz w:val="20"/>
          <w:szCs w:val="20"/>
        </w:rPr>
        <w:t xml:space="preserve"> </w:t>
      </w:r>
      <w:r w:rsidRPr="0010514A">
        <w:rPr>
          <w:rFonts w:ascii="Calibri" w:eastAsia="Times New Roman" w:hAnsi="Calibri" w:cs="Calibri"/>
          <w:b/>
          <w:color w:val="000000"/>
          <w:sz w:val="20"/>
          <w:szCs w:val="20"/>
          <w:lang w:eastAsia="de-DE"/>
        </w:rPr>
        <w:t>Hinweise zur Methode</w:t>
      </w:r>
    </w:p>
    <w:p w14:paraId="73A246E5" w14:textId="3BEC8916" w:rsidR="0010514A" w:rsidRPr="0010514A" w:rsidRDefault="0010514A" w:rsidP="0010514A">
      <w:pPr>
        <w:rPr>
          <w:rFonts w:ascii="Calibri" w:eastAsia="Times New Roman" w:hAnsi="Calibri" w:cs="Calibri"/>
          <w:color w:val="000000"/>
          <w:sz w:val="20"/>
          <w:szCs w:val="20"/>
          <w:lang w:eastAsia="de-DE"/>
        </w:rPr>
      </w:pPr>
      <w:r w:rsidRPr="0010514A">
        <w:rPr>
          <w:rFonts w:ascii="Calibri" w:eastAsia="Times New Roman" w:hAnsi="Calibri" w:cs="Calibri"/>
          <w:color w:val="000000"/>
          <w:sz w:val="20"/>
          <w:szCs w:val="20"/>
          <w:lang w:eastAsia="de-DE"/>
        </w:rPr>
        <w:t>Aus</w:t>
      </w:r>
      <w:r w:rsidR="00F022A0">
        <w:rPr>
          <w:rFonts w:ascii="Calibri" w:eastAsia="Times New Roman" w:hAnsi="Calibri" w:cs="Calibri"/>
          <w:color w:val="000000"/>
          <w:sz w:val="20"/>
          <w:szCs w:val="20"/>
          <w:lang w:eastAsia="de-DE"/>
        </w:rPr>
        <w:t>ge</w:t>
      </w:r>
      <w:r w:rsidRPr="0010514A">
        <w:rPr>
          <w:rFonts w:ascii="Calibri" w:eastAsia="Times New Roman" w:hAnsi="Calibri" w:cs="Calibri"/>
          <w:color w:val="000000"/>
          <w:sz w:val="20"/>
          <w:szCs w:val="20"/>
          <w:lang w:eastAsia="de-DE"/>
        </w:rPr>
        <w:t xml:space="preserve">wertet wurden die Daten aus der Partei-Spenden Datenbank von </w:t>
      </w:r>
      <w:proofErr w:type="spellStart"/>
      <w:r w:rsidRPr="0010514A">
        <w:rPr>
          <w:rFonts w:ascii="Calibri" w:eastAsia="Times New Roman" w:hAnsi="Calibri" w:cs="Calibri"/>
          <w:color w:val="000000"/>
          <w:sz w:val="20"/>
          <w:szCs w:val="20"/>
          <w:lang w:eastAsia="de-DE"/>
        </w:rPr>
        <w:t>Lobbycontrol</w:t>
      </w:r>
      <w:proofErr w:type="spellEnd"/>
      <w:r w:rsidRPr="0010514A">
        <w:rPr>
          <w:rFonts w:ascii="Calibri" w:eastAsia="Times New Roman" w:hAnsi="Calibri" w:cs="Calibri"/>
          <w:color w:val="000000"/>
          <w:sz w:val="20"/>
          <w:szCs w:val="20"/>
          <w:lang w:eastAsia="de-DE"/>
        </w:rPr>
        <w:t>. Diese umfasst die Spenden aus den Rechenschaftsberichten der Parteien von 2000 bis 20</w:t>
      </w:r>
      <w:r w:rsidR="00363B8C">
        <w:rPr>
          <w:rFonts w:ascii="Calibri" w:eastAsia="Times New Roman" w:hAnsi="Calibri" w:cs="Calibri"/>
          <w:color w:val="000000"/>
          <w:sz w:val="20"/>
          <w:szCs w:val="20"/>
          <w:lang w:eastAsia="de-DE"/>
        </w:rPr>
        <w:t>2</w:t>
      </w:r>
      <w:r w:rsidR="00685F56">
        <w:rPr>
          <w:rFonts w:ascii="Calibri" w:eastAsia="Times New Roman" w:hAnsi="Calibri" w:cs="Calibri"/>
          <w:color w:val="000000"/>
          <w:sz w:val="20"/>
          <w:szCs w:val="20"/>
          <w:lang w:eastAsia="de-DE"/>
        </w:rPr>
        <w:t>1</w:t>
      </w:r>
      <w:r w:rsidRPr="0010514A">
        <w:rPr>
          <w:rFonts w:ascii="Calibri" w:eastAsia="Times New Roman" w:hAnsi="Calibri" w:cs="Calibri"/>
          <w:color w:val="000000"/>
          <w:sz w:val="20"/>
          <w:szCs w:val="20"/>
          <w:lang w:eastAsia="de-DE"/>
        </w:rPr>
        <w:t>. Außerdem enthält sie die angezeigten Großspenden über 50 000€ für die Jahre 2019 bis 202</w:t>
      </w:r>
      <w:r w:rsidR="002F227D">
        <w:rPr>
          <w:rFonts w:ascii="Calibri" w:eastAsia="Times New Roman" w:hAnsi="Calibri" w:cs="Calibri"/>
          <w:color w:val="000000"/>
          <w:sz w:val="20"/>
          <w:szCs w:val="20"/>
          <w:lang w:eastAsia="de-DE"/>
        </w:rPr>
        <w:t>3</w:t>
      </w:r>
      <w:r w:rsidR="00741121">
        <w:rPr>
          <w:rFonts w:ascii="Calibri" w:eastAsia="Times New Roman" w:hAnsi="Calibri" w:cs="Calibri"/>
          <w:color w:val="000000"/>
          <w:sz w:val="20"/>
          <w:szCs w:val="20"/>
          <w:lang w:eastAsia="de-DE"/>
        </w:rPr>
        <w:t xml:space="preserve"> und anschließend die angezeigten Großspenden über 35.000€ bis 27.08</w:t>
      </w:r>
      <w:r w:rsidR="00F022A0">
        <w:rPr>
          <w:rFonts w:ascii="Calibri" w:eastAsia="Times New Roman" w:hAnsi="Calibri" w:cs="Calibri"/>
          <w:color w:val="000000"/>
          <w:sz w:val="20"/>
          <w:szCs w:val="20"/>
          <w:lang w:eastAsia="de-DE"/>
        </w:rPr>
        <w:t>.</w:t>
      </w:r>
      <w:r w:rsidR="00741121">
        <w:rPr>
          <w:rFonts w:ascii="Calibri" w:eastAsia="Times New Roman" w:hAnsi="Calibri" w:cs="Calibri"/>
          <w:color w:val="000000"/>
          <w:sz w:val="20"/>
          <w:szCs w:val="20"/>
          <w:lang w:eastAsia="de-DE"/>
        </w:rPr>
        <w:t>2025.</w:t>
      </w:r>
    </w:p>
    <w:p w14:paraId="3386A3E5" w14:textId="77777777" w:rsidR="0010514A" w:rsidRPr="0010514A" w:rsidRDefault="0010514A" w:rsidP="0010514A">
      <w:pPr>
        <w:rPr>
          <w:rFonts w:ascii="Calibri" w:eastAsia="Times New Roman" w:hAnsi="Calibri" w:cs="Calibri"/>
          <w:color w:val="000000"/>
          <w:sz w:val="20"/>
          <w:szCs w:val="20"/>
          <w:lang w:eastAsia="de-DE"/>
        </w:rPr>
      </w:pPr>
      <w:r w:rsidRPr="0010514A">
        <w:rPr>
          <w:rFonts w:ascii="Calibri" w:eastAsia="Times New Roman" w:hAnsi="Calibri" w:cs="Calibri"/>
          <w:color w:val="000000"/>
          <w:sz w:val="20"/>
          <w:szCs w:val="20"/>
          <w:lang w:eastAsia="de-DE"/>
        </w:rPr>
        <w:t>Die Daten wurden mittels einer Abfrage der Schlagworte „Immobilien, Wohnen, Bau“ zusammengetragen. Zusätzlich wurden aus Zeitungsartikeln bekannte Immobilienunternehmer, wie beispielsweise Christoph Gröner, in die Abfrage einbezogen.</w:t>
      </w:r>
    </w:p>
    <w:p w14:paraId="4F4A66D3" w14:textId="77777777" w:rsidR="0010514A" w:rsidRPr="0010514A" w:rsidRDefault="0010514A" w:rsidP="0010514A">
      <w:pPr>
        <w:rPr>
          <w:rFonts w:ascii="Calibri" w:eastAsia="Times New Roman" w:hAnsi="Calibri" w:cs="Calibri"/>
          <w:color w:val="000000"/>
          <w:sz w:val="20"/>
          <w:szCs w:val="20"/>
          <w:lang w:eastAsia="de-DE"/>
        </w:rPr>
      </w:pPr>
      <w:r w:rsidRPr="0010514A">
        <w:rPr>
          <w:rFonts w:ascii="Calibri" w:eastAsia="Times New Roman" w:hAnsi="Calibri" w:cs="Calibri"/>
          <w:color w:val="000000"/>
          <w:sz w:val="20"/>
          <w:szCs w:val="20"/>
          <w:lang w:eastAsia="de-DE"/>
        </w:rPr>
        <w:t xml:space="preserve">Berücksichtigt wurden dabei alle Unternehmen im Immobilien- und Wohnungsbausektor. Nicht berücksichtigt wurden Unternehmen deren Hauptgeschäftsfeld im Tiefbau liegt. Ebenso wurden Unternehmen mit dem Schwerpunkt Baumaterialien und Logistik sowie Bausparkassen exkludiert. </w:t>
      </w:r>
    </w:p>
    <w:p w14:paraId="7457964C" w14:textId="77777777" w:rsidR="0010514A" w:rsidRPr="0010514A" w:rsidRDefault="0010514A" w:rsidP="0010514A">
      <w:pPr>
        <w:rPr>
          <w:rFonts w:ascii="Calibri" w:eastAsia="Times New Roman" w:hAnsi="Calibri" w:cs="Calibri"/>
          <w:color w:val="000000"/>
          <w:sz w:val="20"/>
          <w:szCs w:val="20"/>
          <w:lang w:eastAsia="de-DE"/>
        </w:rPr>
      </w:pPr>
      <w:r w:rsidRPr="0010514A">
        <w:rPr>
          <w:rFonts w:ascii="Calibri" w:eastAsia="Times New Roman" w:hAnsi="Calibri" w:cs="Calibri"/>
          <w:color w:val="000000"/>
          <w:sz w:val="20"/>
          <w:szCs w:val="20"/>
          <w:lang w:eastAsia="de-DE"/>
        </w:rPr>
        <w:t>Es handelt sich somit um eine eher konservative Herangehensweise.</w:t>
      </w:r>
    </w:p>
    <w:p w14:paraId="5F2DE628" w14:textId="6890207C" w:rsidR="0010514A" w:rsidRPr="0010514A" w:rsidRDefault="0010514A" w:rsidP="0010514A">
      <w:pPr>
        <w:rPr>
          <w:rFonts w:ascii="Calibri" w:eastAsia="Times New Roman" w:hAnsi="Calibri" w:cs="Calibri"/>
          <w:color w:val="000000"/>
          <w:sz w:val="20"/>
          <w:szCs w:val="20"/>
          <w:lang w:eastAsia="de-DE"/>
        </w:rPr>
      </w:pPr>
      <w:r w:rsidRPr="0010514A">
        <w:rPr>
          <w:rFonts w:ascii="Calibri" w:eastAsia="Times New Roman" w:hAnsi="Calibri" w:cs="Calibri"/>
          <w:color w:val="000000"/>
          <w:sz w:val="20"/>
          <w:szCs w:val="20"/>
          <w:lang w:eastAsia="de-DE"/>
        </w:rPr>
        <w:t xml:space="preserve">Die verwendeten Daten umfassen </w:t>
      </w:r>
      <w:r w:rsidR="00FD589B">
        <w:rPr>
          <w:rFonts w:ascii="Calibri" w:eastAsia="Times New Roman" w:hAnsi="Calibri" w:cs="Calibri"/>
          <w:color w:val="000000"/>
          <w:sz w:val="20"/>
          <w:szCs w:val="20"/>
          <w:lang w:eastAsia="de-DE"/>
        </w:rPr>
        <w:t>2</w:t>
      </w:r>
      <w:r w:rsidR="00741121">
        <w:rPr>
          <w:rFonts w:ascii="Calibri" w:eastAsia="Times New Roman" w:hAnsi="Calibri" w:cs="Calibri"/>
          <w:color w:val="000000"/>
          <w:sz w:val="20"/>
          <w:szCs w:val="20"/>
          <w:lang w:eastAsia="de-DE"/>
        </w:rPr>
        <w:t>19</w:t>
      </w:r>
      <w:r w:rsidRPr="0010514A">
        <w:rPr>
          <w:rFonts w:ascii="Calibri" w:eastAsia="Times New Roman" w:hAnsi="Calibri" w:cs="Calibri"/>
          <w:color w:val="000000"/>
          <w:sz w:val="20"/>
          <w:szCs w:val="20"/>
          <w:lang w:eastAsia="de-DE"/>
        </w:rPr>
        <w:t xml:space="preserve"> Spenden von </w:t>
      </w:r>
      <w:r w:rsidR="0004017D">
        <w:rPr>
          <w:rFonts w:ascii="Calibri" w:eastAsia="Times New Roman" w:hAnsi="Calibri" w:cs="Calibri"/>
          <w:color w:val="000000"/>
          <w:sz w:val="20"/>
          <w:szCs w:val="20"/>
          <w:lang w:eastAsia="de-DE"/>
        </w:rPr>
        <w:t>1</w:t>
      </w:r>
      <w:r w:rsidR="00741121">
        <w:rPr>
          <w:rFonts w:ascii="Calibri" w:eastAsia="Times New Roman" w:hAnsi="Calibri" w:cs="Calibri"/>
          <w:color w:val="000000"/>
          <w:sz w:val="20"/>
          <w:szCs w:val="20"/>
          <w:lang w:eastAsia="de-DE"/>
        </w:rPr>
        <w:t>18</w:t>
      </w:r>
      <w:r w:rsidRPr="0010514A">
        <w:rPr>
          <w:rFonts w:ascii="Calibri" w:eastAsia="Times New Roman" w:hAnsi="Calibri" w:cs="Calibri"/>
          <w:color w:val="000000"/>
          <w:sz w:val="20"/>
          <w:szCs w:val="20"/>
          <w:lang w:eastAsia="de-DE"/>
        </w:rPr>
        <w:t xml:space="preserve"> Unternehmen und Privatpersonen. Nicht berücksichtigt wurden 21 Spenden</w:t>
      </w:r>
      <w:r w:rsidR="00BC6536">
        <w:rPr>
          <w:rFonts w:ascii="Calibri" w:eastAsia="Times New Roman" w:hAnsi="Calibri" w:cs="Calibri"/>
          <w:color w:val="000000"/>
          <w:sz w:val="20"/>
          <w:szCs w:val="20"/>
          <w:lang w:eastAsia="de-DE"/>
        </w:rPr>
        <w:t xml:space="preserve"> (siehe Absatz 3).</w:t>
      </w:r>
    </w:p>
    <w:p w14:paraId="2E72EDDC" w14:textId="7EE372CE" w:rsidR="0010514A" w:rsidRDefault="0010514A">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A8"/>
    <w:rsid w:val="00026F3E"/>
    <w:rsid w:val="000338D3"/>
    <w:rsid w:val="0004017D"/>
    <w:rsid w:val="00042F36"/>
    <w:rsid w:val="00062800"/>
    <w:rsid w:val="000D16AA"/>
    <w:rsid w:val="000E1567"/>
    <w:rsid w:val="0010514A"/>
    <w:rsid w:val="00140C58"/>
    <w:rsid w:val="00164594"/>
    <w:rsid w:val="001709A8"/>
    <w:rsid w:val="00182D64"/>
    <w:rsid w:val="001A1662"/>
    <w:rsid w:val="002069E3"/>
    <w:rsid w:val="002741D1"/>
    <w:rsid w:val="00281191"/>
    <w:rsid w:val="002971CB"/>
    <w:rsid w:val="002F227D"/>
    <w:rsid w:val="00363B8C"/>
    <w:rsid w:val="00373BD8"/>
    <w:rsid w:val="00385E96"/>
    <w:rsid w:val="003D718F"/>
    <w:rsid w:val="003F470F"/>
    <w:rsid w:val="004149B7"/>
    <w:rsid w:val="004308AA"/>
    <w:rsid w:val="004469BF"/>
    <w:rsid w:val="004642D3"/>
    <w:rsid w:val="00466222"/>
    <w:rsid w:val="004816A6"/>
    <w:rsid w:val="004D1FDA"/>
    <w:rsid w:val="004E7651"/>
    <w:rsid w:val="005A73D4"/>
    <w:rsid w:val="005C5E63"/>
    <w:rsid w:val="0063597A"/>
    <w:rsid w:val="00685F56"/>
    <w:rsid w:val="006B5BE3"/>
    <w:rsid w:val="006D08BE"/>
    <w:rsid w:val="006F52BB"/>
    <w:rsid w:val="00741121"/>
    <w:rsid w:val="0075074C"/>
    <w:rsid w:val="00762D0C"/>
    <w:rsid w:val="007F6023"/>
    <w:rsid w:val="00823B4B"/>
    <w:rsid w:val="0083602C"/>
    <w:rsid w:val="008546EB"/>
    <w:rsid w:val="00863C2E"/>
    <w:rsid w:val="008D212C"/>
    <w:rsid w:val="00913F55"/>
    <w:rsid w:val="00942714"/>
    <w:rsid w:val="00960E4F"/>
    <w:rsid w:val="009B4A23"/>
    <w:rsid w:val="00A17D93"/>
    <w:rsid w:val="00A314D2"/>
    <w:rsid w:val="00A33CE9"/>
    <w:rsid w:val="00A4227D"/>
    <w:rsid w:val="00A6307F"/>
    <w:rsid w:val="00A65C62"/>
    <w:rsid w:val="00A903EB"/>
    <w:rsid w:val="00AD6AF6"/>
    <w:rsid w:val="00AE79F0"/>
    <w:rsid w:val="00B147CD"/>
    <w:rsid w:val="00B302F2"/>
    <w:rsid w:val="00B36E02"/>
    <w:rsid w:val="00B42941"/>
    <w:rsid w:val="00BC6536"/>
    <w:rsid w:val="00BF61E8"/>
    <w:rsid w:val="00C35967"/>
    <w:rsid w:val="00C50392"/>
    <w:rsid w:val="00C74292"/>
    <w:rsid w:val="00C86BD9"/>
    <w:rsid w:val="00D070AA"/>
    <w:rsid w:val="00D234FA"/>
    <w:rsid w:val="00D34321"/>
    <w:rsid w:val="00D401CD"/>
    <w:rsid w:val="00D821D1"/>
    <w:rsid w:val="00D91E83"/>
    <w:rsid w:val="00DB2E58"/>
    <w:rsid w:val="00DB5560"/>
    <w:rsid w:val="00E6606A"/>
    <w:rsid w:val="00E731A2"/>
    <w:rsid w:val="00E7518C"/>
    <w:rsid w:val="00E8016C"/>
    <w:rsid w:val="00F022A0"/>
    <w:rsid w:val="00F5304D"/>
    <w:rsid w:val="00F5399C"/>
    <w:rsid w:val="00F676C0"/>
    <w:rsid w:val="00FB0348"/>
    <w:rsid w:val="00FB20EB"/>
    <w:rsid w:val="00FD589B"/>
    <w:rsid w:val="00FE11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B237"/>
  <w15:chartTrackingRefBased/>
  <w15:docId w15:val="{6CF3A91A-7B3A-4D18-9AC4-8F20527A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70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D212C"/>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D212C"/>
    <w:rPr>
      <w:rFonts w:ascii="Times New Roman" w:hAnsi="Times New Roman" w:cs="Times New Roman"/>
      <w:sz w:val="18"/>
      <w:szCs w:val="18"/>
    </w:rPr>
  </w:style>
  <w:style w:type="paragraph" w:styleId="Funotentext">
    <w:name w:val="footnote text"/>
    <w:basedOn w:val="Standard"/>
    <w:link w:val="FunotentextZchn"/>
    <w:uiPriority w:val="99"/>
    <w:semiHidden/>
    <w:unhideWhenUsed/>
    <w:rsid w:val="008D21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212C"/>
    <w:rPr>
      <w:sz w:val="20"/>
      <w:szCs w:val="20"/>
    </w:rPr>
  </w:style>
  <w:style w:type="character" w:styleId="Funotenzeichen">
    <w:name w:val="footnote reference"/>
    <w:basedOn w:val="Absatz-Standardschriftart"/>
    <w:uiPriority w:val="99"/>
    <w:semiHidden/>
    <w:unhideWhenUsed/>
    <w:rsid w:val="008D212C"/>
    <w:rPr>
      <w:vertAlign w:val="superscript"/>
    </w:rPr>
  </w:style>
  <w:style w:type="paragraph" w:styleId="berarbeitung">
    <w:name w:val="Revision"/>
    <w:hidden/>
    <w:uiPriority w:val="99"/>
    <w:semiHidden/>
    <w:rsid w:val="008D212C"/>
    <w:pPr>
      <w:spacing w:after="0" w:line="240" w:lineRule="auto"/>
    </w:pPr>
  </w:style>
  <w:style w:type="character" w:styleId="Kommentarzeichen">
    <w:name w:val="annotation reference"/>
    <w:basedOn w:val="Absatz-Standardschriftart"/>
    <w:uiPriority w:val="99"/>
    <w:semiHidden/>
    <w:unhideWhenUsed/>
    <w:rsid w:val="00F5399C"/>
    <w:rPr>
      <w:sz w:val="16"/>
      <w:szCs w:val="16"/>
    </w:rPr>
  </w:style>
  <w:style w:type="paragraph" w:styleId="Kommentartext">
    <w:name w:val="annotation text"/>
    <w:basedOn w:val="Standard"/>
    <w:link w:val="KommentartextZchn"/>
    <w:uiPriority w:val="99"/>
    <w:semiHidden/>
    <w:unhideWhenUsed/>
    <w:rsid w:val="00F539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399C"/>
    <w:rPr>
      <w:sz w:val="20"/>
      <w:szCs w:val="20"/>
    </w:rPr>
  </w:style>
  <w:style w:type="paragraph" w:styleId="Kommentarthema">
    <w:name w:val="annotation subject"/>
    <w:basedOn w:val="Kommentartext"/>
    <w:next w:val="Kommentartext"/>
    <w:link w:val="KommentarthemaZchn"/>
    <w:uiPriority w:val="99"/>
    <w:semiHidden/>
    <w:unhideWhenUsed/>
    <w:rsid w:val="00F5399C"/>
    <w:rPr>
      <w:b/>
      <w:bCs/>
    </w:rPr>
  </w:style>
  <w:style w:type="character" w:customStyle="1" w:styleId="KommentarthemaZchn">
    <w:name w:val="Kommentarthema Zchn"/>
    <w:basedOn w:val="KommentartextZchn"/>
    <w:link w:val="Kommentarthema"/>
    <w:uiPriority w:val="99"/>
    <w:semiHidden/>
    <w:rsid w:val="00F53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795">
      <w:bodyDiv w:val="1"/>
      <w:marLeft w:val="0"/>
      <w:marRight w:val="0"/>
      <w:marTop w:val="0"/>
      <w:marBottom w:val="0"/>
      <w:divBdr>
        <w:top w:val="none" w:sz="0" w:space="0" w:color="auto"/>
        <w:left w:val="none" w:sz="0" w:space="0" w:color="auto"/>
        <w:bottom w:val="none" w:sz="0" w:space="0" w:color="auto"/>
        <w:right w:val="none" w:sz="0" w:space="0" w:color="auto"/>
      </w:divBdr>
    </w:div>
    <w:div w:id="73556237">
      <w:bodyDiv w:val="1"/>
      <w:marLeft w:val="0"/>
      <w:marRight w:val="0"/>
      <w:marTop w:val="0"/>
      <w:marBottom w:val="0"/>
      <w:divBdr>
        <w:top w:val="none" w:sz="0" w:space="0" w:color="auto"/>
        <w:left w:val="none" w:sz="0" w:space="0" w:color="auto"/>
        <w:bottom w:val="none" w:sz="0" w:space="0" w:color="auto"/>
        <w:right w:val="none" w:sz="0" w:space="0" w:color="auto"/>
      </w:divBdr>
    </w:div>
    <w:div w:id="137697828">
      <w:bodyDiv w:val="1"/>
      <w:marLeft w:val="0"/>
      <w:marRight w:val="0"/>
      <w:marTop w:val="0"/>
      <w:marBottom w:val="0"/>
      <w:divBdr>
        <w:top w:val="none" w:sz="0" w:space="0" w:color="auto"/>
        <w:left w:val="none" w:sz="0" w:space="0" w:color="auto"/>
        <w:bottom w:val="none" w:sz="0" w:space="0" w:color="auto"/>
        <w:right w:val="none" w:sz="0" w:space="0" w:color="auto"/>
      </w:divBdr>
    </w:div>
    <w:div w:id="176964370">
      <w:bodyDiv w:val="1"/>
      <w:marLeft w:val="0"/>
      <w:marRight w:val="0"/>
      <w:marTop w:val="0"/>
      <w:marBottom w:val="0"/>
      <w:divBdr>
        <w:top w:val="none" w:sz="0" w:space="0" w:color="auto"/>
        <w:left w:val="none" w:sz="0" w:space="0" w:color="auto"/>
        <w:bottom w:val="none" w:sz="0" w:space="0" w:color="auto"/>
        <w:right w:val="none" w:sz="0" w:space="0" w:color="auto"/>
      </w:divBdr>
    </w:div>
    <w:div w:id="177693114">
      <w:bodyDiv w:val="1"/>
      <w:marLeft w:val="0"/>
      <w:marRight w:val="0"/>
      <w:marTop w:val="0"/>
      <w:marBottom w:val="0"/>
      <w:divBdr>
        <w:top w:val="none" w:sz="0" w:space="0" w:color="auto"/>
        <w:left w:val="none" w:sz="0" w:space="0" w:color="auto"/>
        <w:bottom w:val="none" w:sz="0" w:space="0" w:color="auto"/>
        <w:right w:val="none" w:sz="0" w:space="0" w:color="auto"/>
      </w:divBdr>
    </w:div>
    <w:div w:id="184683562">
      <w:bodyDiv w:val="1"/>
      <w:marLeft w:val="0"/>
      <w:marRight w:val="0"/>
      <w:marTop w:val="0"/>
      <w:marBottom w:val="0"/>
      <w:divBdr>
        <w:top w:val="none" w:sz="0" w:space="0" w:color="auto"/>
        <w:left w:val="none" w:sz="0" w:space="0" w:color="auto"/>
        <w:bottom w:val="none" w:sz="0" w:space="0" w:color="auto"/>
        <w:right w:val="none" w:sz="0" w:space="0" w:color="auto"/>
      </w:divBdr>
    </w:div>
    <w:div w:id="213348601">
      <w:bodyDiv w:val="1"/>
      <w:marLeft w:val="0"/>
      <w:marRight w:val="0"/>
      <w:marTop w:val="0"/>
      <w:marBottom w:val="0"/>
      <w:divBdr>
        <w:top w:val="none" w:sz="0" w:space="0" w:color="auto"/>
        <w:left w:val="none" w:sz="0" w:space="0" w:color="auto"/>
        <w:bottom w:val="none" w:sz="0" w:space="0" w:color="auto"/>
        <w:right w:val="none" w:sz="0" w:space="0" w:color="auto"/>
      </w:divBdr>
    </w:div>
    <w:div w:id="241571232">
      <w:bodyDiv w:val="1"/>
      <w:marLeft w:val="0"/>
      <w:marRight w:val="0"/>
      <w:marTop w:val="0"/>
      <w:marBottom w:val="0"/>
      <w:divBdr>
        <w:top w:val="none" w:sz="0" w:space="0" w:color="auto"/>
        <w:left w:val="none" w:sz="0" w:space="0" w:color="auto"/>
        <w:bottom w:val="none" w:sz="0" w:space="0" w:color="auto"/>
        <w:right w:val="none" w:sz="0" w:space="0" w:color="auto"/>
      </w:divBdr>
    </w:div>
    <w:div w:id="268396241">
      <w:bodyDiv w:val="1"/>
      <w:marLeft w:val="0"/>
      <w:marRight w:val="0"/>
      <w:marTop w:val="0"/>
      <w:marBottom w:val="0"/>
      <w:divBdr>
        <w:top w:val="none" w:sz="0" w:space="0" w:color="auto"/>
        <w:left w:val="none" w:sz="0" w:space="0" w:color="auto"/>
        <w:bottom w:val="none" w:sz="0" w:space="0" w:color="auto"/>
        <w:right w:val="none" w:sz="0" w:space="0" w:color="auto"/>
      </w:divBdr>
    </w:div>
    <w:div w:id="361440824">
      <w:bodyDiv w:val="1"/>
      <w:marLeft w:val="0"/>
      <w:marRight w:val="0"/>
      <w:marTop w:val="0"/>
      <w:marBottom w:val="0"/>
      <w:divBdr>
        <w:top w:val="none" w:sz="0" w:space="0" w:color="auto"/>
        <w:left w:val="none" w:sz="0" w:space="0" w:color="auto"/>
        <w:bottom w:val="none" w:sz="0" w:space="0" w:color="auto"/>
        <w:right w:val="none" w:sz="0" w:space="0" w:color="auto"/>
      </w:divBdr>
    </w:div>
    <w:div w:id="423261682">
      <w:bodyDiv w:val="1"/>
      <w:marLeft w:val="0"/>
      <w:marRight w:val="0"/>
      <w:marTop w:val="0"/>
      <w:marBottom w:val="0"/>
      <w:divBdr>
        <w:top w:val="none" w:sz="0" w:space="0" w:color="auto"/>
        <w:left w:val="none" w:sz="0" w:space="0" w:color="auto"/>
        <w:bottom w:val="none" w:sz="0" w:space="0" w:color="auto"/>
        <w:right w:val="none" w:sz="0" w:space="0" w:color="auto"/>
      </w:divBdr>
    </w:div>
    <w:div w:id="444736095">
      <w:bodyDiv w:val="1"/>
      <w:marLeft w:val="0"/>
      <w:marRight w:val="0"/>
      <w:marTop w:val="0"/>
      <w:marBottom w:val="0"/>
      <w:divBdr>
        <w:top w:val="none" w:sz="0" w:space="0" w:color="auto"/>
        <w:left w:val="none" w:sz="0" w:space="0" w:color="auto"/>
        <w:bottom w:val="none" w:sz="0" w:space="0" w:color="auto"/>
        <w:right w:val="none" w:sz="0" w:space="0" w:color="auto"/>
      </w:divBdr>
    </w:div>
    <w:div w:id="462382319">
      <w:bodyDiv w:val="1"/>
      <w:marLeft w:val="0"/>
      <w:marRight w:val="0"/>
      <w:marTop w:val="0"/>
      <w:marBottom w:val="0"/>
      <w:divBdr>
        <w:top w:val="none" w:sz="0" w:space="0" w:color="auto"/>
        <w:left w:val="none" w:sz="0" w:space="0" w:color="auto"/>
        <w:bottom w:val="none" w:sz="0" w:space="0" w:color="auto"/>
        <w:right w:val="none" w:sz="0" w:space="0" w:color="auto"/>
      </w:divBdr>
    </w:div>
    <w:div w:id="478424819">
      <w:bodyDiv w:val="1"/>
      <w:marLeft w:val="0"/>
      <w:marRight w:val="0"/>
      <w:marTop w:val="0"/>
      <w:marBottom w:val="0"/>
      <w:divBdr>
        <w:top w:val="none" w:sz="0" w:space="0" w:color="auto"/>
        <w:left w:val="none" w:sz="0" w:space="0" w:color="auto"/>
        <w:bottom w:val="none" w:sz="0" w:space="0" w:color="auto"/>
        <w:right w:val="none" w:sz="0" w:space="0" w:color="auto"/>
      </w:divBdr>
    </w:div>
    <w:div w:id="511336196">
      <w:bodyDiv w:val="1"/>
      <w:marLeft w:val="0"/>
      <w:marRight w:val="0"/>
      <w:marTop w:val="0"/>
      <w:marBottom w:val="0"/>
      <w:divBdr>
        <w:top w:val="none" w:sz="0" w:space="0" w:color="auto"/>
        <w:left w:val="none" w:sz="0" w:space="0" w:color="auto"/>
        <w:bottom w:val="none" w:sz="0" w:space="0" w:color="auto"/>
        <w:right w:val="none" w:sz="0" w:space="0" w:color="auto"/>
      </w:divBdr>
    </w:div>
    <w:div w:id="512574468">
      <w:bodyDiv w:val="1"/>
      <w:marLeft w:val="0"/>
      <w:marRight w:val="0"/>
      <w:marTop w:val="0"/>
      <w:marBottom w:val="0"/>
      <w:divBdr>
        <w:top w:val="none" w:sz="0" w:space="0" w:color="auto"/>
        <w:left w:val="none" w:sz="0" w:space="0" w:color="auto"/>
        <w:bottom w:val="none" w:sz="0" w:space="0" w:color="auto"/>
        <w:right w:val="none" w:sz="0" w:space="0" w:color="auto"/>
      </w:divBdr>
    </w:div>
    <w:div w:id="517044946">
      <w:bodyDiv w:val="1"/>
      <w:marLeft w:val="0"/>
      <w:marRight w:val="0"/>
      <w:marTop w:val="0"/>
      <w:marBottom w:val="0"/>
      <w:divBdr>
        <w:top w:val="none" w:sz="0" w:space="0" w:color="auto"/>
        <w:left w:val="none" w:sz="0" w:space="0" w:color="auto"/>
        <w:bottom w:val="none" w:sz="0" w:space="0" w:color="auto"/>
        <w:right w:val="none" w:sz="0" w:space="0" w:color="auto"/>
      </w:divBdr>
    </w:div>
    <w:div w:id="584874811">
      <w:bodyDiv w:val="1"/>
      <w:marLeft w:val="0"/>
      <w:marRight w:val="0"/>
      <w:marTop w:val="0"/>
      <w:marBottom w:val="0"/>
      <w:divBdr>
        <w:top w:val="none" w:sz="0" w:space="0" w:color="auto"/>
        <w:left w:val="none" w:sz="0" w:space="0" w:color="auto"/>
        <w:bottom w:val="none" w:sz="0" w:space="0" w:color="auto"/>
        <w:right w:val="none" w:sz="0" w:space="0" w:color="auto"/>
      </w:divBdr>
    </w:div>
    <w:div w:id="615454263">
      <w:bodyDiv w:val="1"/>
      <w:marLeft w:val="0"/>
      <w:marRight w:val="0"/>
      <w:marTop w:val="0"/>
      <w:marBottom w:val="0"/>
      <w:divBdr>
        <w:top w:val="none" w:sz="0" w:space="0" w:color="auto"/>
        <w:left w:val="none" w:sz="0" w:space="0" w:color="auto"/>
        <w:bottom w:val="none" w:sz="0" w:space="0" w:color="auto"/>
        <w:right w:val="none" w:sz="0" w:space="0" w:color="auto"/>
      </w:divBdr>
    </w:div>
    <w:div w:id="661465307">
      <w:bodyDiv w:val="1"/>
      <w:marLeft w:val="0"/>
      <w:marRight w:val="0"/>
      <w:marTop w:val="0"/>
      <w:marBottom w:val="0"/>
      <w:divBdr>
        <w:top w:val="none" w:sz="0" w:space="0" w:color="auto"/>
        <w:left w:val="none" w:sz="0" w:space="0" w:color="auto"/>
        <w:bottom w:val="none" w:sz="0" w:space="0" w:color="auto"/>
        <w:right w:val="none" w:sz="0" w:space="0" w:color="auto"/>
      </w:divBdr>
    </w:div>
    <w:div w:id="733085806">
      <w:bodyDiv w:val="1"/>
      <w:marLeft w:val="0"/>
      <w:marRight w:val="0"/>
      <w:marTop w:val="0"/>
      <w:marBottom w:val="0"/>
      <w:divBdr>
        <w:top w:val="none" w:sz="0" w:space="0" w:color="auto"/>
        <w:left w:val="none" w:sz="0" w:space="0" w:color="auto"/>
        <w:bottom w:val="none" w:sz="0" w:space="0" w:color="auto"/>
        <w:right w:val="none" w:sz="0" w:space="0" w:color="auto"/>
      </w:divBdr>
    </w:div>
    <w:div w:id="751196156">
      <w:bodyDiv w:val="1"/>
      <w:marLeft w:val="0"/>
      <w:marRight w:val="0"/>
      <w:marTop w:val="0"/>
      <w:marBottom w:val="0"/>
      <w:divBdr>
        <w:top w:val="none" w:sz="0" w:space="0" w:color="auto"/>
        <w:left w:val="none" w:sz="0" w:space="0" w:color="auto"/>
        <w:bottom w:val="none" w:sz="0" w:space="0" w:color="auto"/>
        <w:right w:val="none" w:sz="0" w:space="0" w:color="auto"/>
      </w:divBdr>
    </w:div>
    <w:div w:id="774248203">
      <w:bodyDiv w:val="1"/>
      <w:marLeft w:val="0"/>
      <w:marRight w:val="0"/>
      <w:marTop w:val="0"/>
      <w:marBottom w:val="0"/>
      <w:divBdr>
        <w:top w:val="none" w:sz="0" w:space="0" w:color="auto"/>
        <w:left w:val="none" w:sz="0" w:space="0" w:color="auto"/>
        <w:bottom w:val="none" w:sz="0" w:space="0" w:color="auto"/>
        <w:right w:val="none" w:sz="0" w:space="0" w:color="auto"/>
      </w:divBdr>
    </w:div>
    <w:div w:id="817842469">
      <w:bodyDiv w:val="1"/>
      <w:marLeft w:val="0"/>
      <w:marRight w:val="0"/>
      <w:marTop w:val="0"/>
      <w:marBottom w:val="0"/>
      <w:divBdr>
        <w:top w:val="none" w:sz="0" w:space="0" w:color="auto"/>
        <w:left w:val="none" w:sz="0" w:space="0" w:color="auto"/>
        <w:bottom w:val="none" w:sz="0" w:space="0" w:color="auto"/>
        <w:right w:val="none" w:sz="0" w:space="0" w:color="auto"/>
      </w:divBdr>
    </w:div>
    <w:div w:id="837159531">
      <w:bodyDiv w:val="1"/>
      <w:marLeft w:val="0"/>
      <w:marRight w:val="0"/>
      <w:marTop w:val="0"/>
      <w:marBottom w:val="0"/>
      <w:divBdr>
        <w:top w:val="none" w:sz="0" w:space="0" w:color="auto"/>
        <w:left w:val="none" w:sz="0" w:space="0" w:color="auto"/>
        <w:bottom w:val="none" w:sz="0" w:space="0" w:color="auto"/>
        <w:right w:val="none" w:sz="0" w:space="0" w:color="auto"/>
      </w:divBdr>
    </w:div>
    <w:div w:id="838617881">
      <w:bodyDiv w:val="1"/>
      <w:marLeft w:val="0"/>
      <w:marRight w:val="0"/>
      <w:marTop w:val="0"/>
      <w:marBottom w:val="0"/>
      <w:divBdr>
        <w:top w:val="none" w:sz="0" w:space="0" w:color="auto"/>
        <w:left w:val="none" w:sz="0" w:space="0" w:color="auto"/>
        <w:bottom w:val="none" w:sz="0" w:space="0" w:color="auto"/>
        <w:right w:val="none" w:sz="0" w:space="0" w:color="auto"/>
      </w:divBdr>
    </w:div>
    <w:div w:id="840780350">
      <w:bodyDiv w:val="1"/>
      <w:marLeft w:val="0"/>
      <w:marRight w:val="0"/>
      <w:marTop w:val="0"/>
      <w:marBottom w:val="0"/>
      <w:divBdr>
        <w:top w:val="none" w:sz="0" w:space="0" w:color="auto"/>
        <w:left w:val="none" w:sz="0" w:space="0" w:color="auto"/>
        <w:bottom w:val="none" w:sz="0" w:space="0" w:color="auto"/>
        <w:right w:val="none" w:sz="0" w:space="0" w:color="auto"/>
      </w:divBdr>
    </w:div>
    <w:div w:id="853421835">
      <w:bodyDiv w:val="1"/>
      <w:marLeft w:val="0"/>
      <w:marRight w:val="0"/>
      <w:marTop w:val="0"/>
      <w:marBottom w:val="0"/>
      <w:divBdr>
        <w:top w:val="none" w:sz="0" w:space="0" w:color="auto"/>
        <w:left w:val="none" w:sz="0" w:space="0" w:color="auto"/>
        <w:bottom w:val="none" w:sz="0" w:space="0" w:color="auto"/>
        <w:right w:val="none" w:sz="0" w:space="0" w:color="auto"/>
      </w:divBdr>
    </w:div>
    <w:div w:id="877283391">
      <w:bodyDiv w:val="1"/>
      <w:marLeft w:val="0"/>
      <w:marRight w:val="0"/>
      <w:marTop w:val="0"/>
      <w:marBottom w:val="0"/>
      <w:divBdr>
        <w:top w:val="none" w:sz="0" w:space="0" w:color="auto"/>
        <w:left w:val="none" w:sz="0" w:space="0" w:color="auto"/>
        <w:bottom w:val="none" w:sz="0" w:space="0" w:color="auto"/>
        <w:right w:val="none" w:sz="0" w:space="0" w:color="auto"/>
      </w:divBdr>
    </w:div>
    <w:div w:id="932015288">
      <w:bodyDiv w:val="1"/>
      <w:marLeft w:val="0"/>
      <w:marRight w:val="0"/>
      <w:marTop w:val="0"/>
      <w:marBottom w:val="0"/>
      <w:divBdr>
        <w:top w:val="none" w:sz="0" w:space="0" w:color="auto"/>
        <w:left w:val="none" w:sz="0" w:space="0" w:color="auto"/>
        <w:bottom w:val="none" w:sz="0" w:space="0" w:color="auto"/>
        <w:right w:val="none" w:sz="0" w:space="0" w:color="auto"/>
      </w:divBdr>
    </w:div>
    <w:div w:id="981272554">
      <w:bodyDiv w:val="1"/>
      <w:marLeft w:val="0"/>
      <w:marRight w:val="0"/>
      <w:marTop w:val="0"/>
      <w:marBottom w:val="0"/>
      <w:divBdr>
        <w:top w:val="none" w:sz="0" w:space="0" w:color="auto"/>
        <w:left w:val="none" w:sz="0" w:space="0" w:color="auto"/>
        <w:bottom w:val="none" w:sz="0" w:space="0" w:color="auto"/>
        <w:right w:val="none" w:sz="0" w:space="0" w:color="auto"/>
      </w:divBdr>
    </w:div>
    <w:div w:id="1053964721">
      <w:bodyDiv w:val="1"/>
      <w:marLeft w:val="0"/>
      <w:marRight w:val="0"/>
      <w:marTop w:val="0"/>
      <w:marBottom w:val="0"/>
      <w:divBdr>
        <w:top w:val="none" w:sz="0" w:space="0" w:color="auto"/>
        <w:left w:val="none" w:sz="0" w:space="0" w:color="auto"/>
        <w:bottom w:val="none" w:sz="0" w:space="0" w:color="auto"/>
        <w:right w:val="none" w:sz="0" w:space="0" w:color="auto"/>
      </w:divBdr>
    </w:div>
    <w:div w:id="1098283816">
      <w:bodyDiv w:val="1"/>
      <w:marLeft w:val="0"/>
      <w:marRight w:val="0"/>
      <w:marTop w:val="0"/>
      <w:marBottom w:val="0"/>
      <w:divBdr>
        <w:top w:val="none" w:sz="0" w:space="0" w:color="auto"/>
        <w:left w:val="none" w:sz="0" w:space="0" w:color="auto"/>
        <w:bottom w:val="none" w:sz="0" w:space="0" w:color="auto"/>
        <w:right w:val="none" w:sz="0" w:space="0" w:color="auto"/>
      </w:divBdr>
    </w:div>
    <w:div w:id="1120880331">
      <w:bodyDiv w:val="1"/>
      <w:marLeft w:val="0"/>
      <w:marRight w:val="0"/>
      <w:marTop w:val="0"/>
      <w:marBottom w:val="0"/>
      <w:divBdr>
        <w:top w:val="none" w:sz="0" w:space="0" w:color="auto"/>
        <w:left w:val="none" w:sz="0" w:space="0" w:color="auto"/>
        <w:bottom w:val="none" w:sz="0" w:space="0" w:color="auto"/>
        <w:right w:val="none" w:sz="0" w:space="0" w:color="auto"/>
      </w:divBdr>
    </w:div>
    <w:div w:id="1155028214">
      <w:bodyDiv w:val="1"/>
      <w:marLeft w:val="0"/>
      <w:marRight w:val="0"/>
      <w:marTop w:val="0"/>
      <w:marBottom w:val="0"/>
      <w:divBdr>
        <w:top w:val="none" w:sz="0" w:space="0" w:color="auto"/>
        <w:left w:val="none" w:sz="0" w:space="0" w:color="auto"/>
        <w:bottom w:val="none" w:sz="0" w:space="0" w:color="auto"/>
        <w:right w:val="none" w:sz="0" w:space="0" w:color="auto"/>
      </w:divBdr>
    </w:div>
    <w:div w:id="1335642296">
      <w:bodyDiv w:val="1"/>
      <w:marLeft w:val="0"/>
      <w:marRight w:val="0"/>
      <w:marTop w:val="0"/>
      <w:marBottom w:val="0"/>
      <w:divBdr>
        <w:top w:val="none" w:sz="0" w:space="0" w:color="auto"/>
        <w:left w:val="none" w:sz="0" w:space="0" w:color="auto"/>
        <w:bottom w:val="none" w:sz="0" w:space="0" w:color="auto"/>
        <w:right w:val="none" w:sz="0" w:space="0" w:color="auto"/>
      </w:divBdr>
    </w:div>
    <w:div w:id="1340813291">
      <w:bodyDiv w:val="1"/>
      <w:marLeft w:val="0"/>
      <w:marRight w:val="0"/>
      <w:marTop w:val="0"/>
      <w:marBottom w:val="0"/>
      <w:divBdr>
        <w:top w:val="none" w:sz="0" w:space="0" w:color="auto"/>
        <w:left w:val="none" w:sz="0" w:space="0" w:color="auto"/>
        <w:bottom w:val="none" w:sz="0" w:space="0" w:color="auto"/>
        <w:right w:val="none" w:sz="0" w:space="0" w:color="auto"/>
      </w:divBdr>
    </w:div>
    <w:div w:id="1341927514">
      <w:bodyDiv w:val="1"/>
      <w:marLeft w:val="0"/>
      <w:marRight w:val="0"/>
      <w:marTop w:val="0"/>
      <w:marBottom w:val="0"/>
      <w:divBdr>
        <w:top w:val="none" w:sz="0" w:space="0" w:color="auto"/>
        <w:left w:val="none" w:sz="0" w:space="0" w:color="auto"/>
        <w:bottom w:val="none" w:sz="0" w:space="0" w:color="auto"/>
        <w:right w:val="none" w:sz="0" w:space="0" w:color="auto"/>
      </w:divBdr>
    </w:div>
    <w:div w:id="1400710874">
      <w:bodyDiv w:val="1"/>
      <w:marLeft w:val="0"/>
      <w:marRight w:val="0"/>
      <w:marTop w:val="0"/>
      <w:marBottom w:val="0"/>
      <w:divBdr>
        <w:top w:val="none" w:sz="0" w:space="0" w:color="auto"/>
        <w:left w:val="none" w:sz="0" w:space="0" w:color="auto"/>
        <w:bottom w:val="none" w:sz="0" w:space="0" w:color="auto"/>
        <w:right w:val="none" w:sz="0" w:space="0" w:color="auto"/>
      </w:divBdr>
    </w:div>
    <w:div w:id="1476487168">
      <w:bodyDiv w:val="1"/>
      <w:marLeft w:val="0"/>
      <w:marRight w:val="0"/>
      <w:marTop w:val="0"/>
      <w:marBottom w:val="0"/>
      <w:divBdr>
        <w:top w:val="none" w:sz="0" w:space="0" w:color="auto"/>
        <w:left w:val="none" w:sz="0" w:space="0" w:color="auto"/>
        <w:bottom w:val="none" w:sz="0" w:space="0" w:color="auto"/>
        <w:right w:val="none" w:sz="0" w:space="0" w:color="auto"/>
      </w:divBdr>
    </w:div>
    <w:div w:id="1715471099">
      <w:bodyDiv w:val="1"/>
      <w:marLeft w:val="0"/>
      <w:marRight w:val="0"/>
      <w:marTop w:val="0"/>
      <w:marBottom w:val="0"/>
      <w:divBdr>
        <w:top w:val="none" w:sz="0" w:space="0" w:color="auto"/>
        <w:left w:val="none" w:sz="0" w:space="0" w:color="auto"/>
        <w:bottom w:val="none" w:sz="0" w:space="0" w:color="auto"/>
        <w:right w:val="none" w:sz="0" w:space="0" w:color="auto"/>
      </w:divBdr>
    </w:div>
    <w:div w:id="1775856383">
      <w:bodyDiv w:val="1"/>
      <w:marLeft w:val="0"/>
      <w:marRight w:val="0"/>
      <w:marTop w:val="0"/>
      <w:marBottom w:val="0"/>
      <w:divBdr>
        <w:top w:val="none" w:sz="0" w:space="0" w:color="auto"/>
        <w:left w:val="none" w:sz="0" w:space="0" w:color="auto"/>
        <w:bottom w:val="none" w:sz="0" w:space="0" w:color="auto"/>
        <w:right w:val="none" w:sz="0" w:space="0" w:color="auto"/>
      </w:divBdr>
    </w:div>
    <w:div w:id="1797141518">
      <w:bodyDiv w:val="1"/>
      <w:marLeft w:val="0"/>
      <w:marRight w:val="0"/>
      <w:marTop w:val="0"/>
      <w:marBottom w:val="0"/>
      <w:divBdr>
        <w:top w:val="none" w:sz="0" w:space="0" w:color="auto"/>
        <w:left w:val="none" w:sz="0" w:space="0" w:color="auto"/>
        <w:bottom w:val="none" w:sz="0" w:space="0" w:color="auto"/>
        <w:right w:val="none" w:sz="0" w:space="0" w:color="auto"/>
      </w:divBdr>
    </w:div>
    <w:div w:id="1806387578">
      <w:bodyDiv w:val="1"/>
      <w:marLeft w:val="0"/>
      <w:marRight w:val="0"/>
      <w:marTop w:val="0"/>
      <w:marBottom w:val="0"/>
      <w:divBdr>
        <w:top w:val="none" w:sz="0" w:space="0" w:color="auto"/>
        <w:left w:val="none" w:sz="0" w:space="0" w:color="auto"/>
        <w:bottom w:val="none" w:sz="0" w:space="0" w:color="auto"/>
        <w:right w:val="none" w:sz="0" w:space="0" w:color="auto"/>
      </w:divBdr>
    </w:div>
    <w:div w:id="1808355198">
      <w:bodyDiv w:val="1"/>
      <w:marLeft w:val="0"/>
      <w:marRight w:val="0"/>
      <w:marTop w:val="0"/>
      <w:marBottom w:val="0"/>
      <w:divBdr>
        <w:top w:val="none" w:sz="0" w:space="0" w:color="auto"/>
        <w:left w:val="none" w:sz="0" w:space="0" w:color="auto"/>
        <w:bottom w:val="none" w:sz="0" w:space="0" w:color="auto"/>
        <w:right w:val="none" w:sz="0" w:space="0" w:color="auto"/>
      </w:divBdr>
    </w:div>
    <w:div w:id="1909338169">
      <w:bodyDiv w:val="1"/>
      <w:marLeft w:val="0"/>
      <w:marRight w:val="0"/>
      <w:marTop w:val="0"/>
      <w:marBottom w:val="0"/>
      <w:divBdr>
        <w:top w:val="none" w:sz="0" w:space="0" w:color="auto"/>
        <w:left w:val="none" w:sz="0" w:space="0" w:color="auto"/>
        <w:bottom w:val="none" w:sz="0" w:space="0" w:color="auto"/>
        <w:right w:val="none" w:sz="0" w:space="0" w:color="auto"/>
      </w:divBdr>
    </w:div>
    <w:div w:id="1969241436">
      <w:bodyDiv w:val="1"/>
      <w:marLeft w:val="0"/>
      <w:marRight w:val="0"/>
      <w:marTop w:val="0"/>
      <w:marBottom w:val="0"/>
      <w:divBdr>
        <w:top w:val="none" w:sz="0" w:space="0" w:color="auto"/>
        <w:left w:val="none" w:sz="0" w:space="0" w:color="auto"/>
        <w:bottom w:val="none" w:sz="0" w:space="0" w:color="auto"/>
        <w:right w:val="none" w:sz="0" w:space="0" w:color="auto"/>
      </w:divBdr>
    </w:div>
    <w:div w:id="1980263868">
      <w:bodyDiv w:val="1"/>
      <w:marLeft w:val="0"/>
      <w:marRight w:val="0"/>
      <w:marTop w:val="0"/>
      <w:marBottom w:val="0"/>
      <w:divBdr>
        <w:top w:val="none" w:sz="0" w:space="0" w:color="auto"/>
        <w:left w:val="none" w:sz="0" w:space="0" w:color="auto"/>
        <w:bottom w:val="none" w:sz="0" w:space="0" w:color="auto"/>
        <w:right w:val="none" w:sz="0" w:space="0" w:color="auto"/>
      </w:divBdr>
    </w:div>
    <w:div w:id="1980764561">
      <w:bodyDiv w:val="1"/>
      <w:marLeft w:val="0"/>
      <w:marRight w:val="0"/>
      <w:marTop w:val="0"/>
      <w:marBottom w:val="0"/>
      <w:divBdr>
        <w:top w:val="none" w:sz="0" w:space="0" w:color="auto"/>
        <w:left w:val="none" w:sz="0" w:space="0" w:color="auto"/>
        <w:bottom w:val="none" w:sz="0" w:space="0" w:color="auto"/>
        <w:right w:val="none" w:sz="0" w:space="0" w:color="auto"/>
      </w:divBdr>
    </w:div>
    <w:div w:id="2003700975">
      <w:bodyDiv w:val="1"/>
      <w:marLeft w:val="0"/>
      <w:marRight w:val="0"/>
      <w:marTop w:val="0"/>
      <w:marBottom w:val="0"/>
      <w:divBdr>
        <w:top w:val="none" w:sz="0" w:space="0" w:color="auto"/>
        <w:left w:val="none" w:sz="0" w:space="0" w:color="auto"/>
        <w:bottom w:val="none" w:sz="0" w:space="0" w:color="auto"/>
        <w:right w:val="none" w:sz="0" w:space="0" w:color="auto"/>
      </w:divBdr>
    </w:div>
    <w:div w:id="2004044540">
      <w:bodyDiv w:val="1"/>
      <w:marLeft w:val="0"/>
      <w:marRight w:val="0"/>
      <w:marTop w:val="0"/>
      <w:marBottom w:val="0"/>
      <w:divBdr>
        <w:top w:val="none" w:sz="0" w:space="0" w:color="auto"/>
        <w:left w:val="none" w:sz="0" w:space="0" w:color="auto"/>
        <w:bottom w:val="none" w:sz="0" w:space="0" w:color="auto"/>
        <w:right w:val="none" w:sz="0" w:space="0" w:color="auto"/>
      </w:divBdr>
    </w:div>
    <w:div w:id="2026664090">
      <w:bodyDiv w:val="1"/>
      <w:marLeft w:val="0"/>
      <w:marRight w:val="0"/>
      <w:marTop w:val="0"/>
      <w:marBottom w:val="0"/>
      <w:divBdr>
        <w:top w:val="none" w:sz="0" w:space="0" w:color="auto"/>
        <w:left w:val="none" w:sz="0" w:space="0" w:color="auto"/>
        <w:bottom w:val="none" w:sz="0" w:space="0" w:color="auto"/>
        <w:right w:val="none" w:sz="0" w:space="0" w:color="auto"/>
      </w:divBdr>
    </w:div>
    <w:div w:id="2041733548">
      <w:bodyDiv w:val="1"/>
      <w:marLeft w:val="0"/>
      <w:marRight w:val="0"/>
      <w:marTop w:val="0"/>
      <w:marBottom w:val="0"/>
      <w:divBdr>
        <w:top w:val="none" w:sz="0" w:space="0" w:color="auto"/>
        <w:left w:val="none" w:sz="0" w:space="0" w:color="auto"/>
        <w:bottom w:val="none" w:sz="0" w:space="0" w:color="auto"/>
        <w:right w:val="none" w:sz="0" w:space="0" w:color="auto"/>
      </w:divBdr>
    </w:div>
    <w:div w:id="2051227209">
      <w:bodyDiv w:val="1"/>
      <w:marLeft w:val="0"/>
      <w:marRight w:val="0"/>
      <w:marTop w:val="0"/>
      <w:marBottom w:val="0"/>
      <w:divBdr>
        <w:top w:val="none" w:sz="0" w:space="0" w:color="auto"/>
        <w:left w:val="none" w:sz="0" w:space="0" w:color="auto"/>
        <w:bottom w:val="none" w:sz="0" w:space="0" w:color="auto"/>
        <w:right w:val="none" w:sz="0" w:space="0" w:color="auto"/>
      </w:divBdr>
    </w:div>
    <w:div w:id="20781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B0A6-AED7-2D4C-AF22-82031CBB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2834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Rössel</dc:creator>
  <cp:keywords/>
  <dc:description/>
  <cp:lastModifiedBy>Admin</cp:lastModifiedBy>
  <cp:revision>9</cp:revision>
  <dcterms:created xsi:type="dcterms:W3CDTF">2025-08-28T12:35:00Z</dcterms:created>
  <dcterms:modified xsi:type="dcterms:W3CDTF">2025-08-28T14:02:00Z</dcterms:modified>
</cp:coreProperties>
</file>